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hint="eastAsia" w:ascii="华文中宋" w:hAnsi="华文中宋" w:eastAsia="华文中宋"/>
          <w:color w:val="FF0000"/>
          <w:spacing w:val="-20"/>
          <w:sz w:val="18"/>
          <w:szCs w:val="18"/>
          <w:lang w:eastAsia="zh-CN"/>
        </w:rPr>
      </w:pP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21</w:t>
            </w:r>
            <w:bookmarkStart w:id="7" w:name="_GoBack"/>
            <w:bookmarkEnd w:id="7"/>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7A0BF353">
      <w:pPr>
        <w:keepNext w:val="0"/>
        <w:keepLines w:val="0"/>
        <w:widowControl/>
        <w:suppressLineNumbers w:val="0"/>
        <w:jc w:val="center"/>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color w:val="000000"/>
          <w:kern w:val="0"/>
          <w:sz w:val="44"/>
          <w:szCs w:val="44"/>
          <w:lang w:val="en-US" w:eastAsia="zh-CN" w:bidi="ar"/>
        </w:rPr>
        <w:t>35KV辛仓站增容改造工程项目</w:t>
      </w:r>
      <w:r>
        <w:rPr>
          <w:rFonts w:hint="eastAsia" w:ascii="方正小标宋简体" w:hAnsi="方正小标宋简体" w:eastAsia="方正小标宋简体" w:cs="方正小标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pacing w:val="-20"/>
          <w:sz w:val="32"/>
          <w:szCs w:val="32"/>
          <w:lang w:eastAsia="zh-CN"/>
        </w:rPr>
        <w:t>福绵区发展和改革局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68A45AC9">
      <w:pPr>
        <w:keepNext w:val="0"/>
        <w:keepLines w:val="0"/>
        <w:widowControl/>
        <w:suppressLineNumbers w:val="0"/>
        <w:jc w:val="lef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报来《</w:t>
      </w:r>
      <w:r>
        <w:rPr>
          <w:rFonts w:hint="eastAsia" w:ascii="仿宋_GB2312" w:hAnsi="仿宋_GB2312" w:eastAsia="仿宋_GB2312" w:cs="仿宋_GB2312"/>
          <w:color w:val="000000" w:themeColor="text1"/>
          <w:sz w:val="32"/>
          <w:szCs w:val="32"/>
          <w:lang w:eastAsia="zh-CN"/>
          <w14:textFill>
            <w14:solidFill>
              <w14:schemeClr w14:val="tx1"/>
            </w14:solidFill>
          </w14:textFill>
        </w:rPr>
        <w:t>玉林市</w:t>
      </w:r>
      <w:r>
        <w:rPr>
          <w:rFonts w:hint="eastAsia" w:ascii="仿宋_GB2312" w:hAnsi="仿宋_GB2312" w:eastAsia="仿宋_GB2312" w:cs="仿宋_GB2312"/>
          <w:bCs/>
          <w:spacing w:val="-20"/>
          <w:sz w:val="32"/>
          <w:szCs w:val="32"/>
          <w:lang w:eastAsia="zh-CN"/>
        </w:rPr>
        <w:t>福绵区发展和改革局关于35KV辛仓站增容改造工程核准的请示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（玉福发改报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及相关材料收悉。经研究，现将该项目核准事项批复如下：</w:t>
      </w:r>
    </w:p>
    <w:p w14:paraId="3D02F393">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kern w:val="0"/>
          <w:sz w:val="32"/>
          <w:szCs w:val="32"/>
          <w:lang w:val="en-US" w:eastAsia="zh-CN" w:bidi="ar"/>
        </w:rPr>
        <w:t>为满足福绵区新桥镇、福绵镇负荷发展需要，有效解决35KV辛仓站主变过载问题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依据《行政许可法》《企业投资项目核准和备案管理条例》《企业投资项目核准和备案管理办法》，原则同意建设</w:t>
      </w:r>
      <w:r>
        <w:rPr>
          <w:rFonts w:hint="eastAsia" w:ascii="仿宋_GB2312" w:hAnsi="仿宋_GB2312" w:eastAsia="仿宋_GB2312" w:cs="仿宋_GB2312"/>
          <w:bCs/>
          <w:spacing w:val="-20"/>
          <w:sz w:val="32"/>
          <w:szCs w:val="32"/>
          <w:lang w:eastAsia="zh-CN"/>
        </w:rPr>
        <w:t>35KV辛仓站增容改造工程</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二、项目代码：</w:t>
      </w:r>
      <w:r>
        <w:rPr>
          <w:rFonts w:hint="eastAsia" w:ascii="仿宋_GB2312" w:hAnsi="仿宋_GB2312" w:eastAsia="仿宋_GB2312" w:cs="仿宋_GB2312"/>
          <w:color w:val="000000"/>
          <w:kern w:val="0"/>
          <w:sz w:val="32"/>
          <w:szCs w:val="32"/>
          <w:lang w:val="en-US" w:eastAsia="zh-CN" w:bidi="ar"/>
        </w:rPr>
        <w:t>2309-450900-04-01-359328</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215F9676">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三、项目建设单位：</w:t>
      </w:r>
      <w:r>
        <w:rPr>
          <w:rFonts w:hint="eastAsia" w:ascii="仿宋_GB2312" w:hAnsi="仿宋_GB2312" w:eastAsia="仿宋_GB2312" w:cs="仿宋_GB2312"/>
          <w:color w:val="000000"/>
          <w:kern w:val="0"/>
          <w:sz w:val="32"/>
          <w:szCs w:val="32"/>
          <w:lang w:val="en-US" w:eastAsia="zh-CN" w:bidi="ar"/>
        </w:rPr>
        <w:t>广西新电力投资集团玉林供电有限公司</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四、项目建设地点：</w:t>
      </w:r>
      <w:r>
        <w:rPr>
          <w:rFonts w:hint="eastAsia" w:ascii="仿宋_GB2312" w:hAnsi="仿宋_GB2312" w:eastAsia="仿宋_GB2312" w:cs="仿宋_GB2312"/>
          <w:color w:val="000000"/>
          <w:kern w:val="0"/>
          <w:sz w:val="32"/>
          <w:szCs w:val="32"/>
          <w:lang w:val="en-US" w:eastAsia="zh-CN" w:bidi="ar"/>
        </w:rPr>
        <w:t>玉林市福绵区</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97EC61E">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五、项目建设规模及主要内容：</w:t>
      </w:r>
      <w:bookmarkStart w:id="0" w:name="_Toc14574"/>
      <w:bookmarkStart w:id="1" w:name="_Toc1995_WPSOffice_Level3"/>
      <w:bookmarkStart w:id="2" w:name="_Toc103065871"/>
      <w:bookmarkStart w:id="3" w:name="_Toc29109_WPSOffice_Level3"/>
      <w:bookmarkStart w:id="4" w:name="_Toc6301"/>
      <w:bookmarkStart w:id="5" w:name="_Toc9123"/>
      <w:bookmarkStart w:id="6" w:name="_Toc102_WPSOffice_Level3"/>
    </w:p>
    <w:p w14:paraId="38371388">
      <w:pPr>
        <w:keepNext w:val="0"/>
        <w:keepLines w:val="0"/>
        <w:widowControl/>
        <w:suppressLineNumbers w:val="0"/>
        <w:ind w:firstLine="62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lang w:val="en-US" w:eastAsia="zh-CN" w:bidi="ar"/>
        </w:rPr>
        <w:t>(一)主变压器:终期2x10MVA，前期2x6.3MVA，本期2x10MVA</w:t>
      </w:r>
      <w:r>
        <w:rPr>
          <w:rFonts w:hint="eastAsia" w:ascii="仿宋_GB2312" w:hAnsi="仿宋_GB2312" w:eastAsia="仿宋_GB2312" w:cs="仿宋_GB2312"/>
          <w:sz w:val="32"/>
          <w:szCs w:val="32"/>
          <w:lang w:val="zh-CN"/>
        </w:rPr>
        <w:t>。　　　</w:t>
      </w:r>
    </w:p>
    <w:p w14:paraId="6EB493EE">
      <w:pPr>
        <w:keepNext w:val="0"/>
        <w:keepLines w:val="0"/>
        <w:widowControl/>
        <w:suppressLineNumbers w:val="0"/>
        <w:ind w:firstLine="62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(二)35kV出线:终期6回，前期6回，本期0回；</w:t>
      </w:r>
    </w:p>
    <w:p w14:paraId="01C52C92">
      <w:pPr>
        <w:keepNext w:val="0"/>
        <w:keepLines w:val="0"/>
        <w:widowControl/>
        <w:suppressLineNumbers w:val="0"/>
        <w:ind w:firstLine="62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(三)10kV出线:终期12回，前期8回，本期12回;</w:t>
      </w:r>
    </w:p>
    <w:p w14:paraId="4286F1C8">
      <w:pPr>
        <w:keepNext w:val="0"/>
        <w:keepLines w:val="0"/>
        <w:widowControl/>
        <w:suppressLineNumbers w:val="0"/>
        <w:ind w:firstLine="62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zh-CN"/>
        </w:rPr>
        <w:t>(四)10kV并联电容器:终期2x1.2Mvar,前期0.6+1.2Mvar,本期2x1.2Mvar。</w:t>
      </w:r>
    </w:p>
    <w:p w14:paraId="0A437607">
      <w:pPr>
        <w:keepNext w:val="0"/>
        <w:keepLines w:val="0"/>
        <w:widowControl/>
        <w:suppressLineNumbers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zh-CN" w:eastAsia="zh-CN"/>
        </w:rPr>
        <w:t>　　</w:t>
      </w:r>
      <w:r>
        <w:rPr>
          <w:rFonts w:hint="eastAsia" w:ascii="仿宋_GB2312" w:hAnsi="仿宋_GB2312" w:eastAsia="仿宋_GB2312" w:cs="仿宋_GB2312"/>
          <w:sz w:val="32"/>
          <w:szCs w:val="32"/>
          <w:lang w:val="zh-CN"/>
        </w:rPr>
        <w:t>六、</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估算</w:t>
      </w:r>
      <w:r>
        <w:rPr>
          <w:rFonts w:hint="eastAsia" w:ascii="仿宋_GB2312" w:hAnsi="仿宋_GB2312" w:eastAsia="仿宋_GB2312" w:cs="仿宋_GB2312"/>
          <w:sz w:val="32"/>
          <w:szCs w:val="32"/>
          <w:lang w:val="zh-CN" w:eastAsia="zh-CN"/>
        </w:rPr>
        <w:t>总</w:t>
      </w:r>
      <w:r>
        <w:rPr>
          <w:rFonts w:hint="eastAsia" w:ascii="仿宋_GB2312" w:hAnsi="仿宋_GB2312" w:eastAsia="仿宋_GB2312" w:cs="仿宋_GB2312"/>
          <w:sz w:val="32"/>
          <w:szCs w:val="32"/>
          <w:lang w:val="zh-CN"/>
        </w:rPr>
        <w:t>投资和资金来源</w:t>
      </w:r>
      <w:bookmarkEnd w:id="0"/>
      <w:bookmarkEnd w:id="1"/>
      <w:bookmarkEnd w:id="2"/>
      <w:bookmarkEnd w:id="3"/>
      <w:bookmarkEnd w:id="4"/>
      <w:bookmarkEnd w:id="5"/>
      <w:bookmarkEnd w:id="6"/>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项目动态投资约1319万元，静态投资约1297万元。建设单位出资264万元(占动态投资约20%)，其余1055万元由建设单位申</w:t>
      </w:r>
      <w:r>
        <w:rPr>
          <w:rFonts w:hint="eastAsia" w:ascii="仿宋_GB2312" w:hAnsi="仿宋_GB2312" w:eastAsia="仿宋_GB2312" w:cs="仿宋_GB2312"/>
          <w:color w:val="000000"/>
          <w:kern w:val="0"/>
          <w:sz w:val="32"/>
          <w:szCs w:val="32"/>
          <w:lang w:val="en-US" w:eastAsia="zh-CN" w:bidi="ar"/>
        </w:rPr>
        <w:t>请银行贷款解决</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7A917750">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程建设及运行应满足国家环保标准，在技术方案,导线、材料选择等方面要充分考虑节能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p>
    <w:p w14:paraId="131B10EF">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八、请项目建设单位严格执行国家及自治区有关招标投标的规定，按照本批复所附《招标事项核准意见表》的要求，依法开展项目招标工作。</w:t>
      </w:r>
    </w:p>
    <w:p w14:paraId="37D1A6E2">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九、按照相关法律、行政法规的规定，核准项目的相关依据是《广西壮族自治区发展和改革委员会关于印发〈广西“十四五”农村电网巩固提升规划〉的通知》(桂能电力〔2022〕491号）、</w:t>
      </w:r>
      <w:r>
        <w:rPr>
          <w:rFonts w:hint="eastAsia" w:ascii="仿宋_GB2312" w:hAnsi="仿宋_GB2312" w:eastAsia="仿宋_GB2312" w:cs="仿宋_GB2312"/>
          <w:color w:val="000000"/>
          <w:kern w:val="0"/>
          <w:sz w:val="32"/>
          <w:szCs w:val="32"/>
          <w:lang w:val="en-US" w:eastAsia="zh-CN" w:bidi="ar"/>
        </w:rPr>
        <w:t>福绵区辛仓变电站不动产权证《桂（2025）不动产权第0124774号》、</w:t>
      </w:r>
      <w:r>
        <w:rPr>
          <w:rFonts w:hint="eastAsia" w:ascii="仿宋_GB2312" w:hAnsi="仿宋_GB2312" w:eastAsia="仿宋_GB2312" w:cs="仿宋_GB2312"/>
          <w:sz w:val="32"/>
          <w:szCs w:val="32"/>
          <w:lang w:val="en-US" w:eastAsia="zh-CN"/>
        </w:rPr>
        <w:t>《关于福绵区35千伏辛仓站增容改造工程可行性研究报告的批复》(新电力规〔2023〕65号）等文件。</w:t>
      </w:r>
    </w:p>
    <w:p w14:paraId="7A3ACAC4">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十、如需对本项目核准文件所规定的有关内容进行调整，请按照《企业投资项目核准和备案管理办法》的有关规定，及时提出变更申请，我委将根据项目具体情况，出具是否同意变更的书面决定。</w:t>
      </w:r>
    </w:p>
    <w:p w14:paraId="1B2678E7">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十一、请项目建设单位在项目开工建设前，依据相关法律、行政法规规定办理规划许可、土地使用、资源利用、节能、安全生产、环评等相关报建手续。</w:t>
      </w:r>
    </w:p>
    <w:p w14:paraId="422263D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项目建设单位要切实抓好建设安全管理工作，严格执行国家安全生产法律法规及行业规章制度，确保安全生产责任落实到位，杜绝发生安全事故。要按照《建设工程质量管理条例》（国务院令第279号）、《国家能源局关于进一步明确电力建设工程质量监督机构业务工作的通知》（国能函安全〔2020〕39号）和国家能源局有关规定，及时向电力质监机构办理质量监督注册手续、自觉接受质量监督检查。</w:t>
      </w:r>
    </w:p>
    <w:p w14:paraId="6AC0ADD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其他未详事项，严格按照有关法律法规规章执行。</w:t>
      </w:r>
    </w:p>
    <w:p w14:paraId="3A2FD5F7">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14:paraId="62F6AD6D">
      <w:pPr>
        <w:spacing w:line="640" w:lineRule="exact"/>
        <w:ind w:left="319" w:leftChars="152"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招标事项核准意见表</w:t>
      </w:r>
    </w:p>
    <w:p w14:paraId="0593B797">
      <w:pPr>
        <w:spacing w:line="640" w:lineRule="exact"/>
        <w:ind w:left="319" w:leftChars="152" w:firstLine="1600" w:firstLineChars="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电力项目安全管理和质量管控事项告知书</w:t>
      </w:r>
    </w:p>
    <w:p w14:paraId="39F0123A">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00A0224D">
      <w:pPr>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A127B2F">
      <w:pPr>
        <w:spacing w:line="580" w:lineRule="exact"/>
        <w:ind w:firstLine="3520" w:firstLineChars="1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2026年1月29日</w:t>
      </w:r>
    </w:p>
    <w:p w14:paraId="5DFF29C4">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54F1E4EB">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677789F2">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32D3CB73">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77A4A1C8">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36A06154">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71AE92FC">
      <w:pPr>
        <w:pStyle w:val="31"/>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p>
    <w:p w14:paraId="3CB6E8A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368CF5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F34A6C">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AF43F7A">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ACC2F97">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922468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A3F4722">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8645CF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89D10F">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5623BA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6BE4F27">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hint="eastAsia" w:ascii="仿宋_GB2312" w:hAnsi="华文中宋" w:eastAsia="仿宋_GB2312"/>
                <w:sz w:val="28"/>
                <w:szCs w:val="28"/>
                <w:lang w:eastAsia="zh-CN"/>
              </w:rPr>
            </w:pP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6</w:t>
            </w:r>
            <w:r>
              <w:rPr>
                <w:rFonts w:ascii="仿宋_GB2312" w:hAnsi="华文中宋" w:eastAsia="仿宋_GB2312"/>
                <w:sz w:val="28"/>
                <w:szCs w:val="28"/>
              </w:rPr>
              <w:t>年</w:t>
            </w:r>
            <w:r>
              <w:rPr>
                <w:rFonts w:hint="eastAsia" w:ascii="仿宋_GB2312" w:hAnsi="华文中宋" w:eastAsia="仿宋_GB2312"/>
                <w:sz w:val="28"/>
                <w:szCs w:val="28"/>
                <w:lang w:val="en-US" w:eastAsia="zh-CN"/>
              </w:rPr>
              <w:t>1</w:t>
            </w:r>
            <w:r>
              <w:rPr>
                <w:rFonts w:ascii="仿宋_GB2312" w:hAnsi="华文中宋" w:eastAsia="仿宋_GB2312"/>
                <w:sz w:val="28"/>
                <w:szCs w:val="28"/>
              </w:rPr>
              <w:t>月</w:t>
            </w:r>
            <w:r>
              <w:rPr>
                <w:rFonts w:hint="eastAsia" w:ascii="仿宋_GB2312" w:hAnsi="华文中宋" w:eastAsia="仿宋_GB2312"/>
                <w:sz w:val="28"/>
                <w:szCs w:val="28"/>
                <w:lang w:val="en-US" w:eastAsia="zh-CN"/>
              </w:rPr>
              <w:t>29</w:t>
            </w:r>
            <w:r>
              <w:rPr>
                <w:rFonts w:ascii="仿宋_GB2312" w:hAnsi="华文中宋" w:eastAsia="仿宋_GB2312"/>
                <w:sz w:val="28"/>
                <w:szCs w:val="28"/>
              </w:rPr>
              <w:t>日</w:t>
            </w:r>
            <w:r>
              <w:rPr>
                <w:rFonts w:hint="eastAsia" w:ascii="仿宋_GB2312" w:hAnsi="华文中宋" w:eastAsia="仿宋_GB2312"/>
                <w:sz w:val="28"/>
                <w:szCs w:val="28"/>
              </w:rPr>
              <w:t>印发</w:t>
            </w:r>
          </w:p>
        </w:tc>
      </w:tr>
    </w:tbl>
    <w:p w14:paraId="1C9465DF">
      <w:pPr>
        <w:spacing w:afterLines="100"/>
        <w:jc w:val="left"/>
        <w:rPr>
          <w:rFonts w:hint="eastAsia" w:ascii="宋体" w:hAnsi="宋体" w:eastAsia="宋体" w:cs="Times New Roman"/>
          <w:color w:val="000000" w:themeColor="text1"/>
          <w:sz w:val="28"/>
          <w14:textFill>
            <w14:solidFill>
              <w14:schemeClr w14:val="tx1"/>
            </w14:solidFill>
          </w14:textFill>
        </w:rPr>
      </w:pPr>
    </w:p>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hint="eastAsia"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4C0CAEEA">
      <w:pPr>
        <w:pStyle w:val="2"/>
      </w:pPr>
    </w:p>
    <w:p w14:paraId="1B1046BB">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hAnsi="宋体" w:eastAsia="仿宋_GB2312" w:cs="仿宋_GB2312"/>
          <w:color w:val="000000"/>
          <w:kern w:val="0"/>
          <w:sz w:val="31"/>
          <w:szCs w:val="31"/>
          <w:lang w:val="en-US" w:eastAsia="zh-CN" w:bidi="ar"/>
        </w:rPr>
        <w:t>35千伏辛仓站增容改造工程</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w:t>
            </w:r>
            <w:r>
              <w:rPr>
                <w:rFonts w:hint="eastAsia" w:ascii="宋体" w:hAnsi="宋体" w:cs="Times New Roman"/>
                <w:color w:val="000000" w:themeColor="text1"/>
                <w:kern w:val="2"/>
                <w:sz w:val="24"/>
                <w:szCs w:val="24"/>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年</w:t>
            </w:r>
            <w:r>
              <w:rPr>
                <w:rFonts w:hint="eastAsia" w:ascii="宋体" w:hAnsi="宋体" w:cs="Times New Roman"/>
                <w:color w:val="000000" w:themeColor="text1"/>
                <w:kern w:val="2"/>
                <w:sz w:val="24"/>
                <w:szCs w:val="24"/>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29</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6CA1F4D8">
      <w:pPr>
        <w:rPr>
          <w:rFonts w:ascii="宋体" w:hAnsi="宋体"/>
          <w:sz w:val="24"/>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2886062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12F210B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B5889ED">
      <w:pPr>
        <w:keepNext w:val="0"/>
        <w:keepLines w:val="0"/>
        <w:widowControl/>
        <w:suppressLineNumbers w:val="0"/>
        <w:jc w:val="left"/>
      </w:pPr>
      <w:r>
        <w:rPr>
          <w:rFonts w:hint="eastAsia" w:ascii="仿宋_GB2312" w:hAnsi="仿宋_GB2312" w:eastAsia="仿宋_GB2312" w:cs="仿宋_GB2312"/>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宋体" w:eastAsia="仿宋_GB2312" w:cs="仿宋_GB2312"/>
          <w:color w:val="000000"/>
          <w:kern w:val="0"/>
          <w:sz w:val="31"/>
          <w:szCs w:val="31"/>
          <w:lang w:val="en-US" w:eastAsia="zh-CN" w:bidi="ar"/>
        </w:rPr>
        <w:t>广西新电力投资集团玉林供电有限公司</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sz w:val="24"/>
        </w:rPr>
      </w:pPr>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6524">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03E1">
                          <w:pPr>
                            <w:pStyle w:val="9"/>
                            <w:rPr>
                              <w:rStyle w:val="17"/>
                              <w:sz w:val="32"/>
                              <w:szCs w:val="32"/>
                            </w:rPr>
                          </w:pPr>
                          <w:r>
                            <w:rPr>
                              <w:rStyle w:val="17"/>
                              <w:sz w:val="32"/>
                              <w:szCs w:val="32"/>
                            </w:rPr>
                            <w:fldChar w:fldCharType="begin"/>
                          </w:r>
                          <w:r>
                            <w:rPr>
                              <w:rStyle w:val="17"/>
                              <w:sz w:val="32"/>
                              <w:szCs w:val="32"/>
                            </w:rPr>
                            <w:instrText xml:space="preserve">PAGE  </w:instrText>
                          </w:r>
                          <w:r>
                            <w:rPr>
                              <w:rStyle w:val="17"/>
                              <w:sz w:val="32"/>
                              <w:szCs w:val="32"/>
                            </w:rPr>
                            <w:fldChar w:fldCharType="separate"/>
                          </w:r>
                          <w:r>
                            <w:rPr>
                              <w:rStyle w:val="17"/>
                              <w:sz w:val="32"/>
                              <w:szCs w:val="32"/>
                            </w:rPr>
                            <w:t>- 9 -</w:t>
                          </w:r>
                          <w:r>
                            <w:rPr>
                              <w:rStyle w:val="17"/>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E403E1">
                    <w:pPr>
                      <w:pStyle w:val="9"/>
                      <w:rPr>
                        <w:rStyle w:val="17"/>
                        <w:sz w:val="32"/>
                        <w:szCs w:val="32"/>
                      </w:rPr>
                    </w:pPr>
                    <w:r>
                      <w:rPr>
                        <w:rStyle w:val="17"/>
                        <w:sz w:val="32"/>
                        <w:szCs w:val="32"/>
                      </w:rPr>
                      <w:fldChar w:fldCharType="begin"/>
                    </w:r>
                    <w:r>
                      <w:rPr>
                        <w:rStyle w:val="17"/>
                        <w:sz w:val="32"/>
                        <w:szCs w:val="32"/>
                      </w:rPr>
                      <w:instrText xml:space="preserve">PAGE  </w:instrText>
                    </w:r>
                    <w:r>
                      <w:rPr>
                        <w:rStyle w:val="17"/>
                        <w:sz w:val="32"/>
                        <w:szCs w:val="32"/>
                      </w:rPr>
                      <w:fldChar w:fldCharType="separate"/>
                    </w:r>
                    <w:r>
                      <w:rPr>
                        <w:rStyle w:val="17"/>
                        <w:sz w:val="32"/>
                        <w:szCs w:val="32"/>
                      </w:rPr>
                      <w:t>- 9 -</w:t>
                    </w:r>
                    <w:r>
                      <w:rPr>
                        <w:rStyle w:val="17"/>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9D2C6">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79D2C6">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016E9"/>
    <w:rsid w:val="020A2568"/>
    <w:rsid w:val="0337738D"/>
    <w:rsid w:val="03E46820"/>
    <w:rsid w:val="05D2339D"/>
    <w:rsid w:val="06FD4180"/>
    <w:rsid w:val="073C31C4"/>
    <w:rsid w:val="07B92C3C"/>
    <w:rsid w:val="08000695"/>
    <w:rsid w:val="086A653F"/>
    <w:rsid w:val="09575B61"/>
    <w:rsid w:val="096E718E"/>
    <w:rsid w:val="0A2C5A28"/>
    <w:rsid w:val="0AC0648A"/>
    <w:rsid w:val="0AF81AF7"/>
    <w:rsid w:val="0CD50E49"/>
    <w:rsid w:val="0ECB015C"/>
    <w:rsid w:val="0FB33A04"/>
    <w:rsid w:val="0FC83354"/>
    <w:rsid w:val="10266135"/>
    <w:rsid w:val="127001C5"/>
    <w:rsid w:val="12C539DB"/>
    <w:rsid w:val="12F928B1"/>
    <w:rsid w:val="13094DDF"/>
    <w:rsid w:val="1319085D"/>
    <w:rsid w:val="14A405FA"/>
    <w:rsid w:val="14FB46BE"/>
    <w:rsid w:val="15BF56EC"/>
    <w:rsid w:val="15E433A4"/>
    <w:rsid w:val="16CB00C0"/>
    <w:rsid w:val="173827BF"/>
    <w:rsid w:val="18AE3A9D"/>
    <w:rsid w:val="1B544B28"/>
    <w:rsid w:val="1BA95D0D"/>
    <w:rsid w:val="1E682698"/>
    <w:rsid w:val="1EAE09F3"/>
    <w:rsid w:val="1F182311"/>
    <w:rsid w:val="1F4C5B16"/>
    <w:rsid w:val="1F734328"/>
    <w:rsid w:val="2217065D"/>
    <w:rsid w:val="222648EA"/>
    <w:rsid w:val="22813D29"/>
    <w:rsid w:val="2389558B"/>
    <w:rsid w:val="23CF4924"/>
    <w:rsid w:val="240B230C"/>
    <w:rsid w:val="2548374E"/>
    <w:rsid w:val="26393298"/>
    <w:rsid w:val="263D2CBC"/>
    <w:rsid w:val="2680013C"/>
    <w:rsid w:val="27F72428"/>
    <w:rsid w:val="287369E3"/>
    <w:rsid w:val="297D349C"/>
    <w:rsid w:val="29BB2216"/>
    <w:rsid w:val="2BD17ACF"/>
    <w:rsid w:val="2D102879"/>
    <w:rsid w:val="2E8224E6"/>
    <w:rsid w:val="31BE21B5"/>
    <w:rsid w:val="31CC64FB"/>
    <w:rsid w:val="326E42CA"/>
    <w:rsid w:val="33226E62"/>
    <w:rsid w:val="33FC05F9"/>
    <w:rsid w:val="34034EE6"/>
    <w:rsid w:val="35C91817"/>
    <w:rsid w:val="36266C69"/>
    <w:rsid w:val="383A69FC"/>
    <w:rsid w:val="38410E10"/>
    <w:rsid w:val="391A2715"/>
    <w:rsid w:val="3A06303A"/>
    <w:rsid w:val="3AF77A81"/>
    <w:rsid w:val="3B023801"/>
    <w:rsid w:val="3B895CD0"/>
    <w:rsid w:val="3BBB7E54"/>
    <w:rsid w:val="40A14E3D"/>
    <w:rsid w:val="41923405"/>
    <w:rsid w:val="41A575DC"/>
    <w:rsid w:val="42F75C15"/>
    <w:rsid w:val="433C5D1E"/>
    <w:rsid w:val="44AC1FC9"/>
    <w:rsid w:val="46D42031"/>
    <w:rsid w:val="472E3BD0"/>
    <w:rsid w:val="478C7337"/>
    <w:rsid w:val="49351245"/>
    <w:rsid w:val="495711BC"/>
    <w:rsid w:val="4C126797"/>
    <w:rsid w:val="4C372170"/>
    <w:rsid w:val="4C3B3017"/>
    <w:rsid w:val="4C5E1854"/>
    <w:rsid w:val="4D3B0DF4"/>
    <w:rsid w:val="4DA16EA9"/>
    <w:rsid w:val="4E661EA1"/>
    <w:rsid w:val="4EFD45B3"/>
    <w:rsid w:val="50F25C6E"/>
    <w:rsid w:val="51FD16F6"/>
    <w:rsid w:val="53EC6EBC"/>
    <w:rsid w:val="53F405BE"/>
    <w:rsid w:val="548E5CAE"/>
    <w:rsid w:val="549534E0"/>
    <w:rsid w:val="55A60148"/>
    <w:rsid w:val="5664316A"/>
    <w:rsid w:val="583A23D4"/>
    <w:rsid w:val="58FE1654"/>
    <w:rsid w:val="596B480F"/>
    <w:rsid w:val="59CA3EB2"/>
    <w:rsid w:val="5C021A80"/>
    <w:rsid w:val="5C981DBF"/>
    <w:rsid w:val="5C9B540C"/>
    <w:rsid w:val="5F36423A"/>
    <w:rsid w:val="60D00657"/>
    <w:rsid w:val="639D7CBB"/>
    <w:rsid w:val="66154481"/>
    <w:rsid w:val="66320B8F"/>
    <w:rsid w:val="6639016F"/>
    <w:rsid w:val="665A1AAA"/>
    <w:rsid w:val="684C450D"/>
    <w:rsid w:val="69197DE4"/>
    <w:rsid w:val="69E20B1E"/>
    <w:rsid w:val="6B603F96"/>
    <w:rsid w:val="6B9D470F"/>
    <w:rsid w:val="6F2075E2"/>
    <w:rsid w:val="70082960"/>
    <w:rsid w:val="701D1D1F"/>
    <w:rsid w:val="70C1323B"/>
    <w:rsid w:val="71C60738"/>
    <w:rsid w:val="729B5D0E"/>
    <w:rsid w:val="72FF44EF"/>
    <w:rsid w:val="732D57FF"/>
    <w:rsid w:val="73AE2A7E"/>
    <w:rsid w:val="741639DC"/>
    <w:rsid w:val="745B5755"/>
    <w:rsid w:val="75BF1D13"/>
    <w:rsid w:val="763E0E8A"/>
    <w:rsid w:val="76636B42"/>
    <w:rsid w:val="7693567A"/>
    <w:rsid w:val="769B0AEB"/>
    <w:rsid w:val="77AF74EA"/>
    <w:rsid w:val="78AB7B6D"/>
    <w:rsid w:val="798415CC"/>
    <w:rsid w:val="79C21DD2"/>
    <w:rsid w:val="79D778FD"/>
    <w:rsid w:val="7AEF6BF7"/>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style>
  <w:style w:type="paragraph" w:styleId="3">
    <w:name w:val="Title"/>
    <w:basedOn w:val="1"/>
    <w:next w:val="1"/>
    <w:link w:val="23"/>
    <w:qFormat/>
    <w:uiPriority w:val="0"/>
    <w:pPr>
      <w:widowControl/>
      <w:spacing w:before="0" w:after="0" w:line="640" w:lineRule="exact"/>
      <w:jc w:val="center"/>
    </w:pPr>
    <w:rPr>
      <w:rFonts w:eastAsia="方正小标宋_GBK"/>
      <w:sz w:val="36"/>
      <w:szCs w:val="32"/>
    </w:rPr>
  </w:style>
  <w:style w:type="paragraph" w:styleId="5">
    <w:name w:val="Salutation"/>
    <w:basedOn w:val="1"/>
    <w:next w:val="1"/>
    <w:qFormat/>
    <w:uiPriority w:val="0"/>
  </w:style>
  <w:style w:type="paragraph" w:styleId="6">
    <w:name w:val="Body Text Indent"/>
    <w:basedOn w:val="1"/>
    <w:link w:val="20"/>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widowControl/>
      <w:overflowPunct w:val="0"/>
      <w:autoSpaceDE w:val="0"/>
      <w:autoSpaceDN w:val="0"/>
      <w:adjustRightInd w:val="0"/>
      <w:spacing w:afterLines="0" w:afterAutospacing="0"/>
      <w:ind w:firstLine="420"/>
      <w:jc w:val="left"/>
      <w:textAlignment w:val="baseline"/>
    </w:pPr>
    <w:rPr>
      <w:rFonts w:ascii="Times New Roman" w:hAnsi="Times New Roman" w:eastAsia="宋体" w:cs="Times New Roman"/>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character" w:customStyle="1" w:styleId="19">
    <w:name w:val="正文文本 Char"/>
    <w:basedOn w:val="16"/>
    <w:link w:val="2"/>
    <w:qFormat/>
    <w:uiPriority w:val="0"/>
    <w:rPr>
      <w:kern w:val="2"/>
      <w:sz w:val="21"/>
      <w:szCs w:val="24"/>
    </w:rPr>
  </w:style>
  <w:style w:type="character" w:customStyle="1" w:styleId="20">
    <w:name w:val="正文文本缩进 Char"/>
    <w:basedOn w:val="16"/>
    <w:link w:val="6"/>
    <w:qFormat/>
    <w:uiPriority w:val="0"/>
    <w:rPr>
      <w:kern w:val="2"/>
      <w:sz w:val="21"/>
      <w:szCs w:val="24"/>
    </w:rPr>
  </w:style>
  <w:style w:type="character" w:customStyle="1" w:styleId="21">
    <w:name w:val="日期 Char"/>
    <w:basedOn w:val="16"/>
    <w:link w:val="8"/>
    <w:qFormat/>
    <w:uiPriority w:val="0"/>
    <w:rPr>
      <w:kern w:val="2"/>
      <w:sz w:val="21"/>
      <w:szCs w:val="24"/>
    </w:rPr>
  </w:style>
  <w:style w:type="character" w:customStyle="1" w:styleId="22">
    <w:name w:val="页脚 Char"/>
    <w:basedOn w:val="16"/>
    <w:link w:val="9"/>
    <w:qFormat/>
    <w:locked/>
    <w:uiPriority w:val="0"/>
    <w:rPr>
      <w:rFonts w:eastAsia="宋体"/>
      <w:kern w:val="2"/>
      <w:sz w:val="18"/>
      <w:szCs w:val="18"/>
      <w:lang w:val="en-US" w:eastAsia="zh-CN" w:bidi="ar-SA"/>
    </w:rPr>
  </w:style>
  <w:style w:type="character" w:customStyle="1" w:styleId="23">
    <w:name w:val="标题 Char1"/>
    <w:link w:val="3"/>
    <w:qFormat/>
    <w:uiPriority w:val="0"/>
    <w:rPr>
      <w:rFonts w:eastAsia="方正小标宋_GBK"/>
      <w:b/>
      <w:kern w:val="44"/>
      <w:sz w:val="36"/>
      <w:szCs w:val="32"/>
      <w:lang w:bidi="ar-SA"/>
    </w:rPr>
  </w:style>
  <w:style w:type="paragraph" w:customStyle="1" w:styleId="24">
    <w:name w:val="主送"/>
    <w:basedOn w:val="5"/>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9</Pages>
  <Words>2421</Words>
  <Characters>2615</Characters>
  <Lines>4</Lines>
  <Paragraphs>6</Paragraphs>
  <TotalTime>44</TotalTime>
  <ScaleCrop>false</ScaleCrop>
  <LinksUpToDate>false</LinksUpToDate>
  <CharactersWithSpaces>2640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松谷斜阳</cp:lastModifiedBy>
  <cp:lastPrinted>2025-11-18T07:07:00Z</cp:lastPrinted>
  <dcterms:modified xsi:type="dcterms:W3CDTF">2026-02-24T07:32:04Z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1B86EBA9434F4258B5D070B185F06ABD_13</vt:lpwstr>
  </property>
  <property fmtid="{D5CDD505-2E9C-101B-9397-08002B2CF9AE}" pid="4" name="KSOTemplateDocerSaveRecord">
    <vt:lpwstr>eyJoZGlkIjoiNGI0NjMzOTliMjNjN2QwYWY5MTNiZTdlMGZiODhlZmYiLCJ1c2VySWQiOiIzMDA5NjMzMTgifQ==</vt:lpwstr>
  </property>
</Properties>
</file>