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5"/>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119</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7A0BF353">
      <w:pPr>
        <w:keepNext w:val="0"/>
        <w:keepLines w:val="0"/>
        <w:widowControl/>
        <w:suppressLineNumbers w:val="0"/>
        <w:jc w:val="center"/>
        <w:rPr>
          <w:rFonts w:ascii="方正小标宋简体" w:hAnsi="方正粗黑宋简体" w:eastAsia="方正小标宋简体" w:cs="方正粗黑宋简体"/>
          <w:kern w:val="44"/>
          <w:sz w:val="44"/>
          <w:szCs w:val="44"/>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sz w:val="44"/>
          <w:szCs w:val="44"/>
          <w:lang w:val="en-US" w:eastAsia="zh-CN"/>
        </w:rPr>
        <w:t>220千伏长望站增容改造工程</w:t>
      </w:r>
      <w:r>
        <w:rPr>
          <w:rFonts w:hint="eastAsia" w:ascii="方正小标宋简体" w:hAnsi="方正小标宋简体" w:eastAsia="方正小标宋简体" w:cs="方正小标宋简体"/>
          <w:kern w:val="44"/>
          <w:sz w:val="44"/>
          <w:szCs w:val="44"/>
        </w:rPr>
        <w:t>核准的批复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AAE4C45">
      <w:pPr>
        <w:adjustRightInd w:val="0"/>
        <w:snapToGrid w:val="0"/>
        <w:spacing w:line="640" w:lineRule="exact"/>
        <w:ind w:right="128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bCs/>
          <w:spacing w:val="-20"/>
          <w:sz w:val="32"/>
          <w:szCs w:val="32"/>
          <w:lang w:eastAsia="zh-CN"/>
        </w:rPr>
        <w:t>广西</w:t>
      </w:r>
      <w:r>
        <w:rPr>
          <w:rFonts w:hint="eastAsia" w:ascii="仿宋_GB2312" w:eastAsia="仿宋_GB2312"/>
          <w:bCs/>
          <w:spacing w:val="-20"/>
          <w:sz w:val="32"/>
          <w:szCs w:val="32"/>
        </w:rPr>
        <w:t>玉林高新技术产业开发区管理委员会科技和经济发展部</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w:t>
      </w:r>
    </w:p>
    <w:p w14:paraId="68A45AC9">
      <w:pPr>
        <w:keepNext w:val="0"/>
        <w:keepLines w:val="0"/>
        <w:widowControl/>
        <w:suppressLineNumbers w:val="0"/>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eastAsia="仿宋_GB2312" w:cs="Times New Roman"/>
          <w:color w:val="000000" w:themeColor="text1"/>
          <w:sz w:val="32"/>
          <w:szCs w:val="32"/>
          <w:lang w:eastAsia="zh-CN"/>
          <w14:textFill>
            <w14:solidFill>
              <w14:schemeClr w14:val="tx1"/>
            </w14:solidFill>
          </w14:textFill>
        </w:rPr>
        <w:t>你部</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en-US" w:eastAsia="zh-CN"/>
        </w:rPr>
        <w:t>关于玉林供电局申请核准220千伏长望站增容改造工程的</w:t>
      </w:r>
      <w:r>
        <w:rPr>
          <w:rFonts w:hint="eastAsia" w:ascii="仿宋_GB2312" w:hAnsi="仿宋_GB2312" w:eastAsia="仿宋_GB2312" w:cs="仿宋_GB2312"/>
          <w:sz w:val="32"/>
          <w:szCs w:val="32"/>
          <w:lang w:eastAsia="zh-CN"/>
        </w:rPr>
        <w:t>请示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玉</w:t>
      </w:r>
      <w:r>
        <w:rPr>
          <w:rFonts w:hint="eastAsia" w:ascii="仿宋_GB2312" w:hAnsi="仿宋_GB2312" w:eastAsia="仿宋_GB2312" w:cs="仿宋_GB2312"/>
          <w:sz w:val="32"/>
          <w:szCs w:val="32"/>
          <w:lang w:eastAsia="zh-CN"/>
        </w:rPr>
        <w:t>高新区科经</w:t>
      </w:r>
      <w:r>
        <w:rPr>
          <w:rFonts w:hint="eastAsia" w:ascii="仿宋_GB2312" w:hAnsi="仿宋_GB2312" w:eastAsia="仿宋_GB2312" w:cs="仿宋_GB2312"/>
          <w:sz w:val="32"/>
          <w:szCs w:val="32"/>
        </w:rPr>
        <w:t>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themeColor="text1"/>
          <w:sz w:val="32"/>
          <w:szCs w:val="32"/>
          <w14:textFill>
            <w14:solidFill>
              <w14:schemeClr w14:val="tx1"/>
            </w14:solidFill>
          </w14:textFill>
        </w:rPr>
        <w:t>）及相关材料收悉。经研究，现将该</w:t>
      </w:r>
      <w:r>
        <w:rPr>
          <w:rFonts w:hint="eastAsia" w:ascii="仿宋_GB2312" w:hAnsi="Times New Roman" w:eastAsia="仿宋_GB2312" w:cs="Times New Roman"/>
          <w:color w:val="000000" w:themeColor="text1"/>
          <w:sz w:val="32"/>
          <w:szCs w:val="32"/>
          <w14:textFill>
            <w14:solidFill>
              <w14:schemeClr w14:val="tx1"/>
            </w14:solidFill>
          </w14:textFill>
        </w:rPr>
        <w:t>项目核准事项批复如下：</w:t>
      </w:r>
    </w:p>
    <w:p w14:paraId="3D02F393">
      <w:pPr>
        <w:keepNext w:val="0"/>
        <w:keepLines w:val="0"/>
        <w:widowControl/>
        <w:suppressLineNumbers w:val="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一、</w:t>
      </w:r>
      <w:r>
        <w:rPr>
          <w:rFonts w:hint="eastAsia" w:ascii="仿宋_GB2312" w:hAnsi="Times New Roman" w:eastAsia="仿宋_GB2312" w:cs="Times New Roman"/>
          <w:sz w:val="32"/>
          <w:szCs w:val="32"/>
          <w:lang w:val="zh-CN"/>
        </w:rPr>
        <w:t>为满足玉林市负荷发展的需要，提高</w:t>
      </w:r>
      <w:r>
        <w:rPr>
          <w:rFonts w:hint="eastAsia" w:ascii="仿宋_GB2312" w:hAnsi="Times New Roman" w:eastAsia="仿宋_GB2312" w:cs="Times New Roman"/>
          <w:sz w:val="32"/>
          <w:szCs w:val="32"/>
        </w:rPr>
        <w:t>长望站和塘步站供电片区的</w:t>
      </w:r>
      <w:r>
        <w:rPr>
          <w:rFonts w:hint="eastAsia" w:ascii="仿宋_GB2312" w:hAnsi="Times New Roman" w:eastAsia="仿宋_GB2312" w:cs="Times New Roman"/>
          <w:sz w:val="32"/>
          <w:szCs w:val="32"/>
          <w:lang w:val="zh-CN"/>
        </w:rPr>
        <w:t>供电可靠性</w:t>
      </w:r>
      <w:r>
        <w:rPr>
          <w:rFonts w:hint="eastAsia" w:ascii="仿宋_GB2312" w:hAnsi="仿宋_GB2312" w:eastAsia="仿宋_GB2312" w:cs="仿宋_GB2312"/>
          <w:b w:val="0"/>
          <w:bCs w:val="0"/>
          <w:sz w:val="32"/>
          <w:szCs w:val="32"/>
          <w:lang w:val="en-US" w:eastAsia="zh-CN"/>
        </w:rPr>
        <w:t>，</w:t>
      </w:r>
      <w:r>
        <w:rPr>
          <w:rFonts w:hint="eastAsia" w:ascii="仿宋_GB2312" w:hAnsi="Times New Roman" w:eastAsia="仿宋_GB2312" w:cs="Times New Roman"/>
          <w:color w:val="000000" w:themeColor="text1"/>
          <w:sz w:val="32"/>
          <w:szCs w:val="32"/>
          <w14:textFill>
            <w14:solidFill>
              <w14:schemeClr w14:val="tx1"/>
            </w14:solidFill>
          </w14:textFill>
        </w:rPr>
        <w:t>依据《行政许可法》《企业投资项目</w:t>
      </w:r>
      <w:r>
        <w:rPr>
          <w:rFonts w:hint="eastAsia" w:ascii="仿宋_GB2312" w:hAnsi="仿宋_GB2312" w:eastAsia="仿宋_GB2312" w:cs="仿宋_GB2312"/>
          <w:color w:val="000000" w:themeColor="text1"/>
          <w:sz w:val="32"/>
          <w:szCs w:val="32"/>
          <w14:textFill>
            <w14:solidFill>
              <w14:schemeClr w14:val="tx1"/>
            </w14:solidFill>
          </w14:textFill>
        </w:rPr>
        <w:t>核准和备案管理条例》《企业投资项目核准和备案管理办法》，原则同意建设</w:t>
      </w:r>
      <w:r>
        <w:rPr>
          <w:rFonts w:hint="eastAsia" w:ascii="仿宋_GB2312" w:hAnsi="仿宋_GB2312" w:eastAsia="仿宋_GB2312" w:cs="仿宋_GB2312"/>
          <w:sz w:val="32"/>
          <w:szCs w:val="32"/>
          <w:lang w:val="en-US" w:eastAsia="zh-CN"/>
        </w:rPr>
        <w:t>220千伏长望站增容改造工程</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0A4B2964">
      <w:pPr>
        <w:keepNext w:val="0"/>
        <w:keepLines w:val="0"/>
        <w:widowControl/>
        <w:suppressLineNumbers w:val="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二、项目代码：</w:t>
      </w:r>
      <w:r>
        <w:rPr>
          <w:rFonts w:hint="eastAsia" w:ascii="仿宋_GB2312" w:eastAsia="仿宋_GB2312"/>
          <w:sz w:val="32"/>
          <w:szCs w:val="32"/>
        </w:rPr>
        <w:t>2512-450900-04-01-258360</w:t>
      </w:r>
      <w:r>
        <w:rPr>
          <w:rFonts w:ascii="仿宋" w:hAnsi="仿宋" w:eastAsia="仿宋" w:cs="仿宋"/>
          <w:color w:val="000000" w:themeColor="text1"/>
          <w:kern w:val="0"/>
          <w:sz w:val="31"/>
          <w:szCs w:val="31"/>
          <w:lang w:val="en-US" w:eastAsia="zh-CN" w:bidi="ar"/>
          <w14:textFill>
            <w14:solidFill>
              <w14:schemeClr w14:val="tx1"/>
            </w14:solidFill>
          </w14:textFill>
        </w:rPr>
        <w:t>。</w:t>
      </w:r>
    </w:p>
    <w:p w14:paraId="215F9676">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三、项目建设单位：</w:t>
      </w:r>
      <w:r>
        <w:rPr>
          <w:rFonts w:hint="eastAsia" w:ascii="仿宋_GB2312" w:hAnsi="仿宋_GB2312" w:eastAsia="仿宋_GB2312" w:cs="仿宋_GB2312"/>
          <w:b w:val="0"/>
          <w:bCs w:val="0"/>
          <w:sz w:val="32"/>
          <w:szCs w:val="32"/>
          <w:lang w:val="en-US" w:eastAsia="zh-CN"/>
        </w:rPr>
        <w:t>广西电网有限责任公司玉林供电局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4DE114E">
      <w:pPr>
        <w:keepNext w:val="0"/>
        <w:keepLines w:val="0"/>
        <w:widowControl/>
        <w:suppressLineNumbers w:val="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四、项目建设地点：</w:t>
      </w:r>
      <w:r>
        <w:rPr>
          <w:rFonts w:hint="eastAsia" w:ascii="仿宋_GB2312" w:eastAsia="仿宋_GB2312"/>
          <w:sz w:val="32"/>
          <w:szCs w:val="32"/>
        </w:rPr>
        <w:t>玉林高新区</w:t>
      </w:r>
      <w:r>
        <w:rPr>
          <w:rFonts w:hint="eastAsia" w:ascii="仿宋_GB2312" w:hAnsi="Times New Roman" w:eastAsia="仿宋_GB2312" w:cs="Times New Roman"/>
          <w:color w:val="000000" w:themeColor="text1"/>
          <w:kern w:val="0"/>
          <w:sz w:val="32"/>
          <w:szCs w:val="32"/>
          <w14:textFill>
            <w14:solidFill>
              <w14:schemeClr w14:val="tx1"/>
            </w14:solidFill>
          </w14:textFill>
        </w:rPr>
        <w:t>。</w:t>
      </w:r>
    </w:p>
    <w:p w14:paraId="297EC61E">
      <w:pPr>
        <w:keepNext w:val="0"/>
        <w:keepLines w:val="0"/>
        <w:widowControl/>
        <w:suppressLineNumbers w:val="0"/>
        <w:jc w:val="lef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五、项目建设规模及主要内容：</w:t>
      </w:r>
      <w:bookmarkStart w:id="0" w:name="_Toc14574"/>
      <w:bookmarkStart w:id="1" w:name="_Toc6301"/>
      <w:bookmarkStart w:id="2" w:name="_Toc1995_WPSOffice_Level3"/>
      <w:bookmarkStart w:id="3" w:name="_Toc103065871"/>
      <w:bookmarkStart w:id="4" w:name="_Toc9123"/>
      <w:bookmarkStart w:id="5" w:name="_Toc29109_WPSOffice_Level3"/>
      <w:bookmarkStart w:id="6" w:name="_Toc102_WPSOffice_Level3"/>
    </w:p>
    <w:p w14:paraId="43DF9F52">
      <w:pPr>
        <w:keepNext w:val="0"/>
        <w:keepLines w:val="0"/>
        <w:widowControl/>
        <w:suppressLineNumbers w:val="0"/>
        <w:ind w:firstLine="62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主变压器：终期3台，前期（2×180+1×120）兆伏安，本期拆除#2主变（1×120兆伏安）并增容为1×180兆伏安；220千伏出线：终期4回，前期4回，本期不新增；110千伏出线：终期9回，前期9回（其中电气备用1回），本期不新增；10千伏出线：终期19回，前期20回，本期将1回出线间隔改为电容器间隔；10千伏并联电容器：终期由3×3组改成3×10+3×10+4×8兆乏，前期3×10+2×10+4×8兆乏，本期新增1×10兆乏。</w:t>
      </w:r>
    </w:p>
    <w:p w14:paraId="4286F1C8">
      <w:pPr>
        <w:keepNext w:val="0"/>
        <w:keepLines w:val="0"/>
        <w:widowControl/>
        <w:suppressLineNumbers w:val="0"/>
        <w:ind w:firstLine="62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Times New Roman" w:eastAsia="仿宋_GB2312" w:cs="Times New Roman"/>
          <w:sz w:val="32"/>
          <w:szCs w:val="32"/>
        </w:rPr>
        <w:t>本工程在变电站围墙内#2主变位置进行增容扩建，无需新征用地，维持前期采用户外AIS变电站布置</w:t>
      </w:r>
      <w:r>
        <w:rPr>
          <w:rFonts w:hint="eastAsia" w:ascii="仿宋_GB2312" w:hAnsi="宋体" w:eastAsia="仿宋_GB2312" w:cs="宋体"/>
          <w:sz w:val="32"/>
          <w:szCs w:val="32"/>
          <w:lang w:val="zh-CN"/>
        </w:rPr>
        <w:t>。</w:t>
      </w:r>
    </w:p>
    <w:p w14:paraId="0A437607">
      <w:pPr>
        <w:keepNext w:val="0"/>
        <w:keepLines w:val="0"/>
        <w:widowControl/>
        <w:suppressLineNumbers w:val="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w:t>
      </w:r>
      <w:r>
        <w:rPr>
          <w:rFonts w:hint="eastAsia" w:ascii="仿宋_GB2312" w:hAnsi="宋体" w:eastAsia="仿宋_GB2312" w:cs="宋体"/>
          <w:bCs/>
          <w:color w:val="000000" w:themeColor="text1"/>
          <w:sz w:val="32"/>
          <w:szCs w:val="32"/>
          <w14:textFill>
            <w14:solidFill>
              <w14:schemeClr w14:val="tx1"/>
            </w14:solidFill>
          </w14:textFill>
        </w:rPr>
        <w:t>估算</w:t>
      </w:r>
      <w:r>
        <w:rPr>
          <w:rFonts w:hint="eastAsia" w:ascii="仿宋_GB2312" w:hAnsi="宋体" w:eastAsia="仿宋_GB2312" w:cs="宋体"/>
          <w:bCs/>
          <w:color w:val="000000" w:themeColor="text1"/>
          <w:sz w:val="32"/>
          <w:szCs w:val="32"/>
          <w:lang w:eastAsia="zh-CN"/>
          <w14:textFill>
            <w14:solidFill>
              <w14:schemeClr w14:val="tx1"/>
            </w14:solidFill>
          </w14:textFill>
        </w:rPr>
        <w:t>总</w:t>
      </w:r>
      <w:r>
        <w:rPr>
          <w:rFonts w:hint="eastAsia" w:ascii="仿宋_GB2312" w:hAnsi="宋体" w:eastAsia="仿宋_GB2312" w:cs="宋体"/>
          <w:bCs/>
          <w:color w:val="000000" w:themeColor="text1"/>
          <w:sz w:val="32"/>
          <w:szCs w:val="32"/>
          <w14:textFill>
            <w14:solidFill>
              <w14:schemeClr w14:val="tx1"/>
            </w14:solidFill>
          </w14:textFill>
        </w:rPr>
        <w:t>投资和资金来源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hint="eastAsia" w:ascii="仿宋_GB2312" w:hAnsi="宋体" w:eastAsia="仿宋_GB2312"/>
          <w:sz w:val="32"/>
          <w:szCs w:val="32"/>
        </w:rPr>
        <w:t>项目</w:t>
      </w:r>
      <w:r>
        <w:rPr>
          <w:rFonts w:hint="eastAsia" w:ascii="仿宋_GB2312" w:eastAsia="仿宋_GB2312"/>
          <w:sz w:val="32"/>
          <w:szCs w:val="32"/>
        </w:rPr>
        <w:t>静态</w:t>
      </w:r>
      <w:r>
        <w:rPr>
          <w:rFonts w:hint="eastAsia" w:ascii="仿宋_GB2312" w:eastAsia="仿宋_GB2312"/>
          <w:sz w:val="32"/>
          <w:szCs w:val="32"/>
          <w:lang w:eastAsia="zh-CN"/>
        </w:rPr>
        <w:t>总</w:t>
      </w:r>
      <w:r>
        <w:rPr>
          <w:rFonts w:hint="eastAsia" w:ascii="仿宋_GB2312" w:eastAsia="仿宋_GB2312"/>
          <w:sz w:val="32"/>
          <w:szCs w:val="32"/>
        </w:rPr>
        <w:t>投资1241万元动态</w:t>
      </w:r>
      <w:r>
        <w:rPr>
          <w:rFonts w:hint="eastAsia" w:ascii="仿宋_GB2312" w:eastAsia="仿宋_GB2312"/>
          <w:sz w:val="32"/>
          <w:szCs w:val="32"/>
          <w:lang w:eastAsia="zh-CN"/>
        </w:rPr>
        <w:t>总</w:t>
      </w:r>
      <w:r>
        <w:rPr>
          <w:rFonts w:hint="eastAsia" w:ascii="仿宋_GB2312" w:eastAsia="仿宋_GB2312"/>
          <w:sz w:val="32"/>
          <w:szCs w:val="32"/>
        </w:rPr>
        <w:t>投资1258万元。建设单位出资252万元(占动态投资的20%),其余1006万元向商业银行贷款解决</w:t>
      </w:r>
      <w:r>
        <w:rPr>
          <w:rFonts w:hint="eastAsia" w:ascii="仿宋_GB2312" w:hAnsi="宋体" w:eastAsia="仿宋_GB2312" w:cs="宋体"/>
          <w:bCs/>
          <w:color w:val="000000" w:themeColor="text1"/>
          <w:sz w:val="32"/>
          <w:szCs w:val="32"/>
          <w14:textFill>
            <w14:solidFill>
              <w14:schemeClr w14:val="tx1"/>
            </w14:solidFill>
          </w14:textFill>
        </w:rPr>
        <w:t>。</w:t>
      </w:r>
    </w:p>
    <w:p w14:paraId="7A917750">
      <w:pPr>
        <w:spacing w:line="64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w:t>
      </w:r>
      <w:r>
        <w:rPr>
          <w:rFonts w:hint="eastAsia" w:ascii="仿宋_GB2312" w:hAnsi="宋体" w:eastAsia="仿宋_GB2312" w:cs="Times New Roman"/>
          <w:color w:val="000000" w:themeColor="text1"/>
          <w:sz w:val="32"/>
          <w:szCs w:val="32"/>
          <w14:textFill>
            <w14:solidFill>
              <w14:schemeClr w14:val="tx1"/>
            </w14:solidFill>
          </w14:textFill>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31B10EF">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八、请项目建设单位严格执行国家及自治区有关招标投标的规定，按照本批复所附《招标事项核准意见表》的要求，依法开展项目招标工作。</w:t>
      </w:r>
    </w:p>
    <w:p w14:paraId="37D1A6E2">
      <w:pPr>
        <w:keepNext w:val="0"/>
        <w:keepLines w:val="0"/>
        <w:widowControl/>
        <w:suppressLineNumbers w:val="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九、按照相关法律、行政法规的规定，核准项目的相关依据是</w:t>
      </w:r>
      <w:r>
        <w:rPr>
          <w:rFonts w:hint="eastAsia" w:ascii="仿宋_GB2312" w:eastAsia="仿宋_GB2312"/>
          <w:sz w:val="32"/>
          <w:szCs w:val="32"/>
        </w:rPr>
        <w:t>广西电网有限责任公司《关于玉林市220千伏长望站增容改造工程可行性研究报告的批复》</w:t>
      </w:r>
      <w:r>
        <w:rPr>
          <w:rFonts w:hint="eastAsia" w:ascii="仿宋_GB2312" w:eastAsia="仿宋_GB2312"/>
          <w:sz w:val="32"/>
          <w:szCs w:val="32"/>
          <w:lang w:eastAsia="zh-CN"/>
        </w:rPr>
        <w:t>、土地</w:t>
      </w:r>
      <w:r>
        <w:rPr>
          <w:rFonts w:hint="eastAsia" w:ascii="仿宋_GB2312" w:eastAsia="仿宋_GB2312"/>
          <w:sz w:val="32"/>
          <w:szCs w:val="32"/>
        </w:rPr>
        <w:t>使用证(玉国用(2000)字第185号)</w:t>
      </w:r>
      <w:r>
        <w:rPr>
          <w:rFonts w:hint="eastAsia" w:ascii="仿宋_GB2312" w:eastAsia="仿宋_GB2312"/>
          <w:sz w:val="32"/>
          <w:szCs w:val="32"/>
          <w:lang w:eastAsia="zh-CN"/>
        </w:rPr>
        <w:t>、</w:t>
      </w:r>
      <w:r>
        <w:rPr>
          <w:rFonts w:hint="eastAsia" w:ascii="仿宋_GB2312" w:eastAsia="仿宋_GB2312"/>
          <w:sz w:val="32"/>
          <w:szCs w:val="32"/>
        </w:rPr>
        <w:t>《广西壮族自治区能源局关于加强电网规划建设工作的通知》(桂能电力(2025)234号)</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p>
    <w:p w14:paraId="7A3ACAC4">
      <w:pPr>
        <w:keepNext w:val="0"/>
        <w:keepLines w:val="0"/>
        <w:widowControl/>
        <w:suppressLineNumbers w:val="0"/>
        <w:ind w:firstLine="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w:t>
      </w:r>
      <w:r>
        <w:rPr>
          <w:rFonts w:hint="eastAsia" w:ascii="仿宋_GB2312" w:hAnsi="宋体" w:eastAsia="仿宋_GB2312" w:cs="Times New Roman"/>
          <w:color w:val="000000" w:themeColor="text1"/>
          <w:sz w:val="32"/>
          <w:szCs w:val="32"/>
          <w14:textFill>
            <w14:solidFill>
              <w14:schemeClr w14:val="tx1"/>
            </w14:solidFill>
          </w14:textFill>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B2678E7">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十一、</w:t>
      </w:r>
      <w:r>
        <w:rPr>
          <w:rFonts w:hint="eastAsia" w:ascii="仿宋_GB2312" w:hAnsi="宋体" w:eastAsia="仿宋_GB2312" w:cs="Times New Roman"/>
          <w:color w:val="000000" w:themeColor="text1"/>
          <w:sz w:val="32"/>
          <w:szCs w:val="32"/>
          <w14:textFill>
            <w14:solidFill>
              <w14:schemeClr w14:val="tx1"/>
            </w14:solidFill>
          </w14:textFill>
        </w:rPr>
        <w:t>请项目建设单位在项目开工建设前，依据相关法律、行政法规规定办理规划许可、土地使用、资源利用、</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节能、</w:t>
      </w:r>
      <w:r>
        <w:rPr>
          <w:rFonts w:hint="eastAsia" w:ascii="仿宋_GB2312" w:hAnsi="宋体" w:eastAsia="仿宋_GB2312" w:cs="Times New Roman"/>
          <w:color w:val="000000" w:themeColor="text1"/>
          <w:sz w:val="32"/>
          <w:szCs w:val="32"/>
          <w14:textFill>
            <w14:solidFill>
              <w14:schemeClr w14:val="tx1"/>
            </w14:solidFill>
          </w14:textFill>
        </w:rPr>
        <w:t>安全生产、环评等相关报建手续。</w:t>
      </w:r>
    </w:p>
    <w:p w14:paraId="422263D9">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十二、项目建设单位要切实抓好建设安全管理工作，严格执行国家安全生产法律法规及行业规章制度，确保安全生产责任落实到位，杜绝发生安全事故</w:t>
      </w:r>
      <w:r>
        <w:rPr>
          <w:rFonts w:hint="eastAsia" w:ascii="仿宋_GB2312" w:hAnsi="宋体" w:eastAsia="仿宋_GB2312" w:cs="Times New Roman"/>
          <w:color w:val="000000" w:themeColor="text1"/>
          <w:sz w:val="32"/>
          <w:szCs w:val="32"/>
          <w:lang w:eastAsia="zh-CN"/>
          <w14:textFill>
            <w14:solidFill>
              <w14:schemeClr w14:val="tx1"/>
            </w14:solidFill>
          </w14:textFill>
        </w:rPr>
        <w:t>。</w:t>
      </w:r>
      <w:r>
        <w:rPr>
          <w:rFonts w:hint="eastAsia" w:ascii="仿宋_GB2312" w:hAnsi="宋体" w:eastAsia="仿宋_GB2312" w:cs="Times New Roman"/>
          <w:color w:val="000000" w:themeColor="text1"/>
          <w:sz w:val="32"/>
          <w:szCs w:val="32"/>
          <w14:textFill>
            <w14:solidFill>
              <w14:schemeClr w14:val="tx1"/>
            </w14:solidFill>
          </w14:textFill>
        </w:rPr>
        <w:t>要按照《建设工程质量管理条例》（国务院令第279号）、</w:t>
      </w:r>
      <w:r>
        <w:rPr>
          <w:rFonts w:hint="eastAsia" w:ascii="仿宋_GB2312" w:hAnsi="Times New Roman" w:eastAsia="仿宋_GB2312" w:cs="Times New Roman"/>
          <w:color w:val="000000" w:themeColor="text1"/>
          <w:sz w:val="32"/>
          <w:szCs w:val="32"/>
          <w14:textFill>
            <w14:solidFill>
              <w14:schemeClr w14:val="tx1"/>
            </w14:solidFill>
          </w14:textFill>
        </w:rPr>
        <w:t>《国家能源局关于进一步明确电力建设工程质量监督机构业务工作的通知》（国能函安全〔2020〕39号）</w:t>
      </w:r>
      <w:r>
        <w:rPr>
          <w:rFonts w:hint="eastAsia" w:ascii="仿宋_GB2312" w:hAnsi="宋体" w:eastAsia="仿宋_GB2312" w:cs="Times New Roman"/>
          <w:color w:val="000000" w:themeColor="text1"/>
          <w:sz w:val="32"/>
          <w:szCs w:val="32"/>
          <w14:textFill>
            <w14:solidFill>
              <w14:schemeClr w14:val="tx1"/>
            </w14:solidFill>
          </w14:textFill>
        </w:rPr>
        <w:t>和国家能源局有关规定，及时向电力质监机构办理质量监督注册手续、自觉接受质量监督检查。</w:t>
      </w:r>
    </w:p>
    <w:p w14:paraId="6AC0ADDB">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十三、</w:t>
      </w:r>
      <w:r>
        <w:rPr>
          <w:rFonts w:hint="eastAsia" w:ascii="仿宋_GB2312" w:hAnsi="Times New Roman" w:eastAsia="仿宋_GB2312" w:cs="Times New Roman"/>
          <w:color w:val="000000" w:themeColor="text1"/>
          <w:sz w:val="32"/>
          <w:szCs w:val="32"/>
          <w14:textFill>
            <w14:solidFill>
              <w14:schemeClr w14:val="tx1"/>
            </w14:solidFill>
          </w14:textFill>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7C9E293C">
      <w:pPr>
        <w:spacing w:line="640" w:lineRule="exact"/>
        <w:ind w:firstLine="640" w:firstLineChars="200"/>
        <w:jc w:val="left"/>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十四、</w:t>
      </w:r>
      <w:r>
        <w:rPr>
          <w:rFonts w:hint="eastAsia" w:ascii="仿宋_GB2312" w:hAnsi="宋体" w:eastAsia="仿宋_GB2312" w:cs="Times New Roman"/>
          <w:color w:val="000000" w:themeColor="text1"/>
          <w:sz w:val="32"/>
          <w:szCs w:val="32"/>
          <w14:textFill>
            <w14:solidFill>
              <w14:schemeClr w14:val="tx1"/>
            </w14:solidFill>
          </w14:textFill>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eastAsia="仿宋_GB2312" w:cs="Times New Roman"/>
          <w:color w:val="000000" w:themeColor="text1"/>
          <w:sz w:val="32"/>
          <w:szCs w:val="32"/>
          <w:lang w:eastAsia="zh-CN"/>
          <w14:textFill>
            <w14:solidFill>
              <w14:schemeClr w14:val="tx1"/>
            </w14:solidFill>
          </w14:textFill>
        </w:rPr>
        <w:t>其他未详事项，严格按照有关法律法规规定执行。</w:t>
      </w:r>
    </w:p>
    <w:p w14:paraId="3A2FD5F7">
      <w:pPr>
        <w:spacing w:line="640" w:lineRule="exact"/>
        <w:ind w:left="319" w:leftChars="152" w:firstLine="640" w:firstLineChars="200"/>
        <w:rPr>
          <w:rFonts w:ascii="仿宋_GB2312" w:hAnsi="黑体" w:eastAsia="仿宋_GB2312" w:cs="Times New Roman"/>
          <w:color w:val="000000" w:themeColor="text1"/>
          <w:sz w:val="32"/>
          <w:szCs w:val="32"/>
          <w14:textFill>
            <w14:solidFill>
              <w14:schemeClr w14:val="tx1"/>
            </w14:solidFill>
          </w14:textFill>
        </w:rPr>
      </w:pPr>
    </w:p>
    <w:p w14:paraId="62F6AD6D">
      <w:pPr>
        <w:spacing w:line="640" w:lineRule="exact"/>
        <w:ind w:left="319" w:leftChars="152"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0593B797">
      <w:pPr>
        <w:spacing w:line="640" w:lineRule="exact"/>
        <w:ind w:left="319" w:leftChars="152" w:firstLine="1600" w:firstLineChars="5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39F0123A">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00A0224D">
      <w:pPr>
        <w:spacing w:line="580" w:lineRule="exact"/>
        <w:rPr>
          <w:rFonts w:ascii="仿宋_GB2312" w:hAnsi="黑体" w:eastAsia="仿宋_GB2312" w:cs="Times New Roman"/>
          <w:color w:val="000000" w:themeColor="text1"/>
          <w:sz w:val="32"/>
          <w:szCs w:val="32"/>
          <w14:textFill>
            <w14:solidFill>
              <w14:schemeClr w14:val="tx1"/>
            </w14:solidFill>
          </w14:textFill>
        </w:rPr>
      </w:pPr>
    </w:p>
    <w:p w14:paraId="4A127B2F">
      <w:pPr>
        <w:spacing w:line="580" w:lineRule="exact"/>
        <w:ind w:firstLine="3520" w:firstLineChars="1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4B3A1DBB">
      <w:pPr>
        <w:keepNext w:val="0"/>
        <w:keepLines w:val="0"/>
        <w:pageBreakBefore w:val="0"/>
        <w:widowControl w:val="0"/>
        <w:kinsoku/>
        <w:wordWrap/>
        <w:overflowPunct/>
        <w:topLinePunct w:val="0"/>
        <w:bidi w:val="0"/>
        <w:snapToGrid/>
        <w:spacing w:line="520" w:lineRule="exact"/>
        <w:ind w:firstLine="4160" w:firstLineChars="1300"/>
        <w:textAlignment w:val="auto"/>
        <w:rPr>
          <w:rFonts w:ascii="仿宋_GB2312" w:hAnsi="仿宋" w:eastAsia="仿宋_GB2312"/>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2025年12月31日</w:t>
      </w:r>
    </w:p>
    <w:p w14:paraId="5DFF29C4">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F1E4EB">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77789F2">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2D3CB73">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7A4A1C8">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A06154">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1AE92FC">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CB6E8AD">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368CF56">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FF34A6C">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AF43F7A">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89D10F">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FC2F59B">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3D16621">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7AAB393">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F8DC27E">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F470C81">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039198D">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ECD612C">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0CC4036">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5623BA3">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6BE4F27">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F38C6AD">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F59869E">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68EAB3">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5"/>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b/>
                <w:sz w:val="32"/>
                <w:szCs w:val="32"/>
                <w:lang w:eastAsia="zh-CN"/>
              </w:rPr>
            </w:pPr>
            <w:r>
              <w:rPr>
                <w:rFonts w:hint="eastAsia" w:ascii="方正小标宋简体" w:hAnsi="华文中宋" w:eastAsia="方正小标宋简体"/>
                <w:b/>
                <w:sz w:val="28"/>
                <w:szCs w:val="28"/>
              </w:rPr>
              <w:t>公开属性：</w:t>
            </w:r>
            <w:r>
              <w:rPr>
                <w:rFonts w:hint="eastAsia" w:ascii="方正小标宋简体" w:hAnsi="华文中宋" w:eastAsia="方正小标宋简体"/>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sz w:val="28"/>
                <w:szCs w:val="28"/>
              </w:rPr>
            </w:pPr>
            <w:r>
              <w:rPr>
                <w:rFonts w:hint="eastAsia" w:ascii="仿宋_GB2312" w:hAnsi="华文中宋" w:eastAsia="仿宋_GB2312"/>
                <w:sz w:val="28"/>
                <w:szCs w:val="28"/>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5</w:t>
            </w:r>
            <w:r>
              <w:rPr>
                <w:rFonts w:ascii="仿宋_GB2312" w:hAnsi="华文中宋" w:eastAsia="仿宋_GB2312"/>
                <w:sz w:val="28"/>
                <w:szCs w:val="28"/>
              </w:rPr>
              <w:t>年</w:t>
            </w:r>
            <w:r>
              <w:rPr>
                <w:rFonts w:hint="eastAsia" w:ascii="仿宋_GB2312" w:hAnsi="华文中宋" w:eastAsia="仿宋_GB2312"/>
                <w:sz w:val="28"/>
                <w:szCs w:val="28"/>
                <w:lang w:val="en-US" w:eastAsia="zh-CN"/>
              </w:rPr>
              <w:t>12</w:t>
            </w:r>
            <w:r>
              <w:rPr>
                <w:rFonts w:ascii="仿宋_GB2312" w:hAnsi="华文中宋" w:eastAsia="仿宋_GB2312"/>
                <w:sz w:val="28"/>
                <w:szCs w:val="28"/>
              </w:rPr>
              <w:t>月</w:t>
            </w:r>
            <w:r>
              <w:rPr>
                <w:rFonts w:hint="eastAsia" w:ascii="仿宋_GB2312" w:hAnsi="华文中宋" w:eastAsia="仿宋_GB2312"/>
                <w:sz w:val="28"/>
                <w:szCs w:val="28"/>
                <w:lang w:val="en-US" w:eastAsia="zh-CN"/>
              </w:rPr>
              <w:t>31</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bl>
    <w:p w14:paraId="08BF6C68">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67FA347">
      <w:pPr>
        <w:spacing w:afterLines="50"/>
        <w:jc w:val="center"/>
        <w:rPr>
          <w:rFonts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1B1046BB">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宋体" w:hAnsi="宋体" w:eastAsia="宋体" w:cs="Times New Roman"/>
          <w:b/>
          <w:bCs/>
          <w:color w:val="000000" w:themeColor="text1"/>
          <w:sz w:val="24"/>
          <w:lang w:val="en-US" w:eastAsia="zh-CN"/>
          <w14:textFill>
            <w14:solidFill>
              <w14:schemeClr w14:val="tx1"/>
            </w14:solidFill>
          </w14:textFill>
        </w:rPr>
        <w:t>220千伏长望站增容改造工程</w:t>
      </w:r>
    </w:p>
    <w:tbl>
      <w:tblPr>
        <w:tblStyle w:val="15"/>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72A806D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7F727A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7D0FED0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407C596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6283299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8342F3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3EBEDD1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4D1D016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1BAE504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078AB5A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6BCDFAC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6EAFC58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28162CD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39C8CE8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2829666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17A9FF7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2D199252">
            <w:pPr>
              <w:jc w:val="center"/>
              <w:rPr>
                <w:rFonts w:ascii="Times New Roman" w:hAnsi="Times New Roman" w:eastAsia="宋体" w:cs="Times New Roman"/>
                <w:b/>
                <w:color w:val="000000" w:themeColor="text1"/>
                <w:sz w:val="24"/>
                <w14:textFill>
                  <w14:solidFill>
                    <w14:schemeClr w14:val="tx1"/>
                  </w14:solidFill>
                </w14:textFill>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62EC955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43A6445">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71A22D1">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FE2023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73BE446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B1C58E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FFBE82B">
            <w:pPr>
              <w:jc w:val="center"/>
              <w:rPr>
                <w:rFonts w:ascii="Times New Roman" w:hAnsi="Times New Roman" w:eastAsia="宋体" w:cs="Times New Roman"/>
                <w:color w:val="000000" w:themeColor="text1"/>
                <w:sz w:val="24"/>
                <w14:textFill>
                  <w14:solidFill>
                    <w14:schemeClr w14:val="tx1"/>
                  </w14:solidFill>
                </w14:textFill>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1087128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1C6C2EB">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AAA64E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B2FE8D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4266D7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05731E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2ADDA1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1E291DB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7BACC2A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40D2C3E">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CDFBF3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0F6909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8B98CD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C3E662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BF940B5">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5B06B4D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1B9B731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178570B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E4AAF0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F022D9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181788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AC886B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924B6D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6F77F2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574F7B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9FF449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934070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8AAA1D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7CAD34C">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F9FAEF7">
            <w:pPr>
              <w:jc w:val="center"/>
              <w:rPr>
                <w:rFonts w:ascii="Times New Roman" w:hAnsi="Times New Roman" w:eastAsia="宋体" w:cs="Times New Roman"/>
                <w:color w:val="000000" w:themeColor="text1"/>
                <w:sz w:val="24"/>
                <w14:textFill>
                  <w14:solidFill>
                    <w14:schemeClr w14:val="tx1"/>
                  </w14:solidFill>
                </w14:textFill>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69E7173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440DC0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9871FD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746AD1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385FE9D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A05F483">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879AB3E">
            <w:pPr>
              <w:jc w:val="center"/>
              <w:rPr>
                <w:rFonts w:ascii="Times New Roman" w:hAnsi="Times New Roman" w:eastAsia="宋体" w:cs="Times New Roman"/>
                <w:color w:val="000000" w:themeColor="text1"/>
                <w:sz w:val="24"/>
                <w14:textFill>
                  <w14:solidFill>
                    <w14:schemeClr w14:val="tx1"/>
                  </w14:solidFill>
                </w14:textFill>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4BF85DB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68C8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393C72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685D607">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92BAF5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813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21D42C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20519E0">
            <w:pPr>
              <w:jc w:val="center"/>
              <w:rPr>
                <w:rFonts w:ascii="Times New Roman" w:hAnsi="Times New Roman" w:eastAsia="宋体" w:cs="Times New Roman"/>
                <w:color w:val="000000" w:themeColor="text1"/>
                <w:sz w:val="24"/>
                <w14:textFill>
                  <w14:solidFill>
                    <w14:schemeClr w14:val="tx1"/>
                  </w14:solidFill>
                </w14:textFill>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1F9F76D7">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35E5007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FD31E4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815A4CD">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1949473A">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2A22F34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D147D81">
            <w:pPr>
              <w:jc w:val="center"/>
              <w:rPr>
                <w:rFonts w:ascii="Times New Roman" w:hAnsi="Times New Roman" w:eastAsia="宋体" w:cs="Times New Roman"/>
                <w:color w:val="000000" w:themeColor="text1"/>
                <w:sz w:val="24"/>
                <w14:textFill>
                  <w14:solidFill>
                    <w14:schemeClr w14:val="tx1"/>
                  </w14:solidFill>
                </w14:textFill>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5B0A4F0D">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0116803D">
            <w:pPr>
              <w:rPr>
                <w:rFonts w:ascii="Times New Roman" w:hAnsi="Times New Roman" w:eastAsia="宋体" w:cs="Times New Roman"/>
                <w:color w:val="000000" w:themeColor="text1"/>
                <w:sz w:val="24"/>
                <w14:textFill>
                  <w14:solidFill>
                    <w14:schemeClr w14:val="tx1"/>
                  </w14:solidFill>
                </w14:textFill>
              </w:rPr>
            </w:pPr>
          </w:p>
          <w:p w14:paraId="24B196D2">
            <w:pPr>
              <w:ind w:left="5880" w:leftChars="2800"/>
              <w:rPr>
                <w:rFonts w:ascii="Times New Roman" w:hAnsi="Times New Roman" w:eastAsia="宋体" w:cs="Times New Roman"/>
                <w:color w:val="000000" w:themeColor="text1"/>
                <w:sz w:val="24"/>
                <w14:textFill>
                  <w14:solidFill>
                    <w14:schemeClr w14:val="tx1"/>
                  </w14:solidFill>
                </w14:textFill>
              </w:rPr>
            </w:pPr>
          </w:p>
          <w:p w14:paraId="08A8FFB6">
            <w:pPr>
              <w:jc w:val="center"/>
              <w:rPr>
                <w:rFonts w:ascii="Times New Roman" w:hAnsi="Times New Roman" w:eastAsia="宋体" w:cs="Times New Roman"/>
                <w:color w:val="000000" w:themeColor="text1"/>
                <w:sz w:val="24"/>
                <w14:textFill>
                  <w14:solidFill>
                    <w14:schemeClr w14:val="tx1"/>
                  </w14:solidFill>
                </w14:textFill>
              </w:rPr>
            </w:pPr>
          </w:p>
          <w:p w14:paraId="6938EDBD">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2025年</w:t>
            </w:r>
            <w:r>
              <w:rPr>
                <w:rFonts w:hint="eastAsia" w:ascii="宋体" w:hAnsi="宋体" w:cs="Times New Roman"/>
                <w:color w:val="000000" w:themeColor="text1"/>
                <w:kern w:val="2"/>
                <w:sz w:val="24"/>
                <w:szCs w:val="24"/>
                <w:lang w:val="en-US" w:eastAsia="zh-CN" w:bidi="ar-SA"/>
                <w14:textFill>
                  <w14:solidFill>
                    <w14:schemeClr w14:val="tx1"/>
                  </w14:solidFill>
                </w14:textFill>
              </w:rPr>
              <w:t>12</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月</w:t>
            </w:r>
            <w:r>
              <w:rPr>
                <w:rFonts w:hint="eastAsia" w:ascii="宋体" w:hAnsi="宋体" w:cs="Times New Roman"/>
                <w:color w:val="000000" w:themeColor="text1"/>
                <w:kern w:val="2"/>
                <w:sz w:val="24"/>
                <w:szCs w:val="24"/>
                <w:lang w:val="en-US" w:eastAsia="zh-CN" w:bidi="ar-SA"/>
                <w14:textFill>
                  <w14:solidFill>
                    <w14:schemeClr w14:val="tx1"/>
                  </w14:solidFill>
                </w14:textFill>
              </w:rPr>
              <w:t>31</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日</w:t>
            </w:r>
          </w:p>
          <w:p w14:paraId="46D05149">
            <w:pPr>
              <w:jc w:val="center"/>
              <w:rPr>
                <w:rFonts w:ascii="Times New Roman" w:hAnsi="Times New Roman" w:eastAsia="宋体" w:cs="Times New Roman"/>
                <w:color w:val="000000" w:themeColor="text1"/>
                <w:sz w:val="24"/>
                <w14:textFill>
                  <w14:solidFill>
                    <w14:schemeClr w14:val="tx1"/>
                  </w14:solidFill>
                </w14:textFill>
              </w:rPr>
            </w:pPr>
          </w:p>
          <w:p w14:paraId="04F4C021">
            <w:pPr>
              <w:jc w:val="center"/>
              <w:rPr>
                <w:rFonts w:ascii="Times New Roman" w:hAnsi="Times New Roman" w:eastAsia="宋体" w:cs="Times New Roman"/>
                <w:color w:val="000000" w:themeColor="text1"/>
                <w:sz w:val="24"/>
                <w14:textFill>
                  <w14:solidFill>
                    <w14:schemeClr w14:val="tx1"/>
                  </w14:solidFill>
                </w14:textFill>
              </w:rPr>
            </w:pPr>
          </w:p>
          <w:p w14:paraId="41D9EF34">
            <w:pPr>
              <w:jc w:val="center"/>
              <w:rPr>
                <w:rFonts w:ascii="Times New Roman" w:hAnsi="Times New Roman" w:eastAsia="宋体" w:cs="Times New Roman"/>
                <w:color w:val="000000" w:themeColor="text1"/>
                <w:sz w:val="24"/>
                <w14:textFill>
                  <w14:solidFill>
                    <w14:schemeClr w14:val="tx1"/>
                  </w14:solidFill>
                </w14:textFill>
              </w:rPr>
            </w:pPr>
          </w:p>
          <w:p w14:paraId="23459316">
            <w:pPr>
              <w:rPr>
                <w:rFonts w:ascii="Times New Roman" w:hAnsi="Times New Roman" w:eastAsia="宋体" w:cs="Times New Roman"/>
                <w:color w:val="000000" w:themeColor="text1"/>
                <w:sz w:val="24"/>
                <w14:textFill>
                  <w14:solidFill>
                    <w14:schemeClr w14:val="tx1"/>
                  </w14:solidFill>
                </w14:textFill>
              </w:rPr>
            </w:pPr>
          </w:p>
          <w:p w14:paraId="5BE2AAFB">
            <w:pPr>
              <w:rPr>
                <w:rFonts w:ascii="Times New Roman" w:hAnsi="Times New Roman" w:eastAsia="宋体" w:cs="Times New Roman"/>
                <w:color w:val="000000" w:themeColor="text1"/>
                <w:sz w:val="24"/>
                <w14:textFill>
                  <w14:solidFill>
                    <w14:schemeClr w14:val="tx1"/>
                  </w14:solidFill>
                </w14:textFill>
              </w:rPr>
            </w:pPr>
          </w:p>
        </w:tc>
      </w:tr>
    </w:tbl>
    <w:p w14:paraId="65B70B92">
      <w:pPr>
        <w:rPr>
          <w:rFonts w:ascii="宋体" w:hAnsi="宋体"/>
          <w:sz w:val="24"/>
        </w:rPr>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3840DD5">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0B422C69">
      <w:pPr>
        <w:spacing w:line="600" w:lineRule="exact"/>
        <w:rPr>
          <w:rFonts w:ascii="黑体" w:hAnsi="黑体" w:eastAsia="黑体" w:cs="仿宋_GB2312"/>
          <w:color w:val="000000" w:themeColor="text1"/>
          <w14:textFill>
            <w14:solidFill>
              <w14:schemeClr w14:val="tx1"/>
            </w14:solidFill>
          </w14:textFill>
        </w:rPr>
      </w:pPr>
    </w:p>
    <w:p w14:paraId="3464828D">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A98C91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47623CD2">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1AE8A7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17B4C04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548A859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8"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w:t>
      </w:r>
    </w:p>
    <w:p w14:paraId="0805F4A0">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12F210B1">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3465D53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681DAE4F">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0D4D38FF">
      <w:pPr>
        <w:rPr>
          <w:rFonts w:ascii="仿宋_GB2312" w:hAnsi="Times New Roman" w:eastAsia="仿宋_GB2312" w:cs="Times New Roman"/>
          <w:color w:val="000000" w:themeColor="text1"/>
          <w:sz w:val="32"/>
          <w:szCs w:val="32"/>
          <w14:textFill>
            <w14:solidFill>
              <w14:schemeClr w14:val="tx1"/>
            </w14:solidFill>
          </w14:textFill>
        </w:rPr>
      </w:pPr>
    </w:p>
    <w:p w14:paraId="6A7E3851">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3A562EE1">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hint="eastAsia" w:ascii="仿宋_GB2312" w:hAnsi="仿宋_GB2312" w:eastAsia="仿宋_GB2312" w:cs="仿宋_GB2312"/>
          <w:b w:val="0"/>
          <w:bCs w:val="0"/>
          <w:sz w:val="32"/>
          <w:szCs w:val="32"/>
          <w:lang w:val="en-US" w:eastAsia="zh-CN"/>
        </w:rPr>
        <w:t>广西电网有限责任公司玉林供电局</w:t>
      </w:r>
    </w:p>
    <w:p w14:paraId="2C090D77">
      <w:pPr>
        <w:spacing w:line="600" w:lineRule="exact"/>
        <w:ind w:firstLine="4899" w:firstLineChars="1531"/>
        <w:rPr>
          <w:rFonts w:ascii="宋体" w:hAnsi="宋体" w:eastAsia="宋体"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bookmarkStart w:id="7" w:name="_GoBack"/>
      <w:bookmarkEnd w:id="7"/>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D50F750">
      <w:pPr>
        <w:rPr>
          <w:rFonts w:ascii="宋体" w:hAnsi="宋体"/>
          <w:sz w:val="24"/>
        </w:rPr>
      </w:pPr>
    </w:p>
    <w:sectPr>
      <w:footerReference r:id="rId9"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6524">
    <w:pPr>
      <w:pStyle w:val="1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03E1">
                          <w:pPr>
                            <w:pStyle w:val="10"/>
                            <w:rPr>
                              <w:rStyle w:val="18"/>
                              <w:sz w:val="32"/>
                              <w:szCs w:val="32"/>
                            </w:rPr>
                          </w:pPr>
                          <w:r>
                            <w:rPr>
                              <w:rStyle w:val="18"/>
                              <w:sz w:val="32"/>
                              <w:szCs w:val="32"/>
                            </w:rPr>
                            <w:fldChar w:fldCharType="begin"/>
                          </w:r>
                          <w:r>
                            <w:rPr>
                              <w:rStyle w:val="18"/>
                              <w:sz w:val="32"/>
                              <w:szCs w:val="32"/>
                            </w:rPr>
                            <w:instrText xml:space="preserve">PAGE  </w:instrText>
                          </w:r>
                          <w:r>
                            <w:rPr>
                              <w:rStyle w:val="18"/>
                              <w:sz w:val="32"/>
                              <w:szCs w:val="32"/>
                            </w:rPr>
                            <w:fldChar w:fldCharType="separate"/>
                          </w:r>
                          <w:r>
                            <w:rPr>
                              <w:rStyle w:val="18"/>
                              <w:sz w:val="32"/>
                              <w:szCs w:val="32"/>
                            </w:rPr>
                            <w:t>- 9 -</w:t>
                          </w:r>
                          <w:r>
                            <w:rPr>
                              <w:rStyle w:val="18"/>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E403E1">
                    <w:pPr>
                      <w:pStyle w:val="10"/>
                      <w:rPr>
                        <w:rStyle w:val="18"/>
                        <w:sz w:val="32"/>
                        <w:szCs w:val="32"/>
                      </w:rPr>
                    </w:pPr>
                    <w:r>
                      <w:rPr>
                        <w:rStyle w:val="18"/>
                        <w:sz w:val="32"/>
                        <w:szCs w:val="32"/>
                      </w:rPr>
                      <w:fldChar w:fldCharType="begin"/>
                    </w:r>
                    <w:r>
                      <w:rPr>
                        <w:rStyle w:val="18"/>
                        <w:sz w:val="32"/>
                        <w:szCs w:val="32"/>
                      </w:rPr>
                      <w:instrText xml:space="preserve">PAGE  </w:instrText>
                    </w:r>
                    <w:r>
                      <w:rPr>
                        <w:rStyle w:val="18"/>
                        <w:sz w:val="32"/>
                        <w:szCs w:val="32"/>
                      </w:rPr>
                      <w:fldChar w:fldCharType="separate"/>
                    </w:r>
                    <w:r>
                      <w:rPr>
                        <w:rStyle w:val="18"/>
                        <w:sz w:val="32"/>
                        <w:szCs w:val="32"/>
                      </w:rPr>
                      <w:t>- 9 -</w:t>
                    </w:r>
                    <w:r>
                      <w:rPr>
                        <w:rStyle w:val="18"/>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5A72C3DC">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9D2C6">
                          <w:pPr>
                            <w:pStyle w:val="10"/>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79D2C6">
                    <w:pPr>
                      <w:pStyle w:val="10"/>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10"/>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10"/>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1"/>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1"/>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3E46820"/>
    <w:rsid w:val="04114082"/>
    <w:rsid w:val="06FD4180"/>
    <w:rsid w:val="08000695"/>
    <w:rsid w:val="086A653F"/>
    <w:rsid w:val="09575B61"/>
    <w:rsid w:val="096E718E"/>
    <w:rsid w:val="09E0077E"/>
    <w:rsid w:val="09EF244D"/>
    <w:rsid w:val="0AC0648A"/>
    <w:rsid w:val="0ECB015C"/>
    <w:rsid w:val="0F20786F"/>
    <w:rsid w:val="0FB33A04"/>
    <w:rsid w:val="10266135"/>
    <w:rsid w:val="10EB52EF"/>
    <w:rsid w:val="13094DDF"/>
    <w:rsid w:val="148E7407"/>
    <w:rsid w:val="1585667E"/>
    <w:rsid w:val="15E433A4"/>
    <w:rsid w:val="16076066"/>
    <w:rsid w:val="16CB00C0"/>
    <w:rsid w:val="19436634"/>
    <w:rsid w:val="1AA94F5A"/>
    <w:rsid w:val="1B544B28"/>
    <w:rsid w:val="1BA95D0D"/>
    <w:rsid w:val="1DA45405"/>
    <w:rsid w:val="1EAE09F3"/>
    <w:rsid w:val="1F734328"/>
    <w:rsid w:val="2217065D"/>
    <w:rsid w:val="23CF4924"/>
    <w:rsid w:val="23F07AFD"/>
    <w:rsid w:val="240B230C"/>
    <w:rsid w:val="2548374E"/>
    <w:rsid w:val="26393298"/>
    <w:rsid w:val="2680013C"/>
    <w:rsid w:val="297D349C"/>
    <w:rsid w:val="29BB2216"/>
    <w:rsid w:val="29F85218"/>
    <w:rsid w:val="2D102879"/>
    <w:rsid w:val="2E8224E6"/>
    <w:rsid w:val="315A1B46"/>
    <w:rsid w:val="31BE21B5"/>
    <w:rsid w:val="31CC64FB"/>
    <w:rsid w:val="326E42CA"/>
    <w:rsid w:val="32713DBA"/>
    <w:rsid w:val="33226E62"/>
    <w:rsid w:val="36266C69"/>
    <w:rsid w:val="383A69FC"/>
    <w:rsid w:val="38410E10"/>
    <w:rsid w:val="391A2715"/>
    <w:rsid w:val="394144E6"/>
    <w:rsid w:val="3A06303A"/>
    <w:rsid w:val="3AF77A81"/>
    <w:rsid w:val="40A14E3D"/>
    <w:rsid w:val="40BA2742"/>
    <w:rsid w:val="42F75C15"/>
    <w:rsid w:val="447A6AFE"/>
    <w:rsid w:val="44883201"/>
    <w:rsid w:val="44AC1FC9"/>
    <w:rsid w:val="465B295F"/>
    <w:rsid w:val="4AFD2237"/>
    <w:rsid w:val="4C126797"/>
    <w:rsid w:val="4E0568AD"/>
    <w:rsid w:val="50F25C6E"/>
    <w:rsid w:val="533802B0"/>
    <w:rsid w:val="537D2167"/>
    <w:rsid w:val="53F405BE"/>
    <w:rsid w:val="55A60148"/>
    <w:rsid w:val="5664316A"/>
    <w:rsid w:val="583A23D4"/>
    <w:rsid w:val="58FE1654"/>
    <w:rsid w:val="596B480F"/>
    <w:rsid w:val="59CA3EB2"/>
    <w:rsid w:val="5A8764B0"/>
    <w:rsid w:val="5C021A80"/>
    <w:rsid w:val="5EA902B4"/>
    <w:rsid w:val="5F36423A"/>
    <w:rsid w:val="5F920D48"/>
    <w:rsid w:val="60D00657"/>
    <w:rsid w:val="60DD2497"/>
    <w:rsid w:val="639D7CBB"/>
    <w:rsid w:val="684C450D"/>
    <w:rsid w:val="69197DE4"/>
    <w:rsid w:val="6B9D470F"/>
    <w:rsid w:val="6BF369B1"/>
    <w:rsid w:val="6F2075E2"/>
    <w:rsid w:val="701D1D1F"/>
    <w:rsid w:val="70C1323B"/>
    <w:rsid w:val="71C60738"/>
    <w:rsid w:val="73AE2A7E"/>
    <w:rsid w:val="741639DC"/>
    <w:rsid w:val="745B5755"/>
    <w:rsid w:val="75BF1D13"/>
    <w:rsid w:val="769B0AEB"/>
    <w:rsid w:val="77AF74EA"/>
    <w:rsid w:val="78AB7B6D"/>
    <w:rsid w:val="7BD328B6"/>
    <w:rsid w:val="7CB270BB"/>
    <w:rsid w:val="7CFC1674"/>
    <w:rsid w:val="7D867CFE"/>
    <w:rsid w:val="7DBF4FA6"/>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style>
  <w:style w:type="paragraph" w:styleId="4">
    <w:name w:val="Salutation"/>
    <w:basedOn w:val="1"/>
    <w:next w:val="1"/>
    <w:qFormat/>
    <w:uiPriority w:val="0"/>
  </w:style>
  <w:style w:type="paragraph" w:styleId="5">
    <w:name w:val="Body Text"/>
    <w:basedOn w:val="1"/>
    <w:next w:val="6"/>
    <w:link w:val="20"/>
    <w:qFormat/>
    <w:uiPriority w:val="0"/>
    <w:pPr>
      <w:spacing w:after="120"/>
    </w:pPr>
  </w:style>
  <w:style w:type="paragraph" w:styleId="6">
    <w:name w:val="Title"/>
    <w:basedOn w:val="1"/>
    <w:next w:val="1"/>
    <w:link w:val="24"/>
    <w:qFormat/>
    <w:uiPriority w:val="0"/>
    <w:pPr>
      <w:widowControl/>
      <w:spacing w:before="0" w:after="0" w:line="640" w:lineRule="exact"/>
      <w:jc w:val="center"/>
    </w:pPr>
    <w:rPr>
      <w:rFonts w:eastAsia="方正小标宋_GBK"/>
      <w:sz w:val="36"/>
      <w:szCs w:val="32"/>
    </w:rPr>
  </w:style>
  <w:style w:type="paragraph" w:styleId="7">
    <w:name w:val="Body Text Indent"/>
    <w:basedOn w:val="1"/>
    <w:link w:val="2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2"/>
    <w:qFormat/>
    <w:uiPriority w:val="0"/>
    <w:pPr>
      <w:ind w:left="100" w:leftChars="2500"/>
    </w:p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5"/>
    <w:qFormat/>
    <w:uiPriority w:val="0"/>
    <w:pPr>
      <w:widowControl/>
      <w:overflowPunct w:val="0"/>
      <w:autoSpaceDE w:val="0"/>
      <w:autoSpaceDN w:val="0"/>
      <w:adjustRightInd w:val="0"/>
      <w:spacing w:afterLines="0" w:afterAutospacing="0"/>
      <w:ind w:firstLine="420"/>
      <w:jc w:val="left"/>
      <w:textAlignment w:val="baseline"/>
    </w:pPr>
    <w:rPr>
      <w:rFonts w:ascii="Times New Roman" w:hAnsi="Times New Roman" w:eastAsia="宋体" w:cs="Times New Roman"/>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character" w:customStyle="1" w:styleId="20">
    <w:name w:val="正文文本 Char"/>
    <w:basedOn w:val="17"/>
    <w:link w:val="5"/>
    <w:qFormat/>
    <w:uiPriority w:val="0"/>
    <w:rPr>
      <w:kern w:val="2"/>
      <w:sz w:val="21"/>
      <w:szCs w:val="24"/>
    </w:rPr>
  </w:style>
  <w:style w:type="character" w:customStyle="1" w:styleId="21">
    <w:name w:val="正文文本缩进 Char"/>
    <w:basedOn w:val="17"/>
    <w:link w:val="7"/>
    <w:qFormat/>
    <w:uiPriority w:val="0"/>
    <w:rPr>
      <w:kern w:val="2"/>
      <w:sz w:val="21"/>
      <w:szCs w:val="24"/>
    </w:rPr>
  </w:style>
  <w:style w:type="character" w:customStyle="1" w:styleId="22">
    <w:name w:val="日期 Char"/>
    <w:basedOn w:val="17"/>
    <w:link w:val="9"/>
    <w:qFormat/>
    <w:uiPriority w:val="0"/>
    <w:rPr>
      <w:kern w:val="2"/>
      <w:sz w:val="21"/>
      <w:szCs w:val="24"/>
    </w:rPr>
  </w:style>
  <w:style w:type="character" w:customStyle="1" w:styleId="23">
    <w:name w:val="页脚 Char"/>
    <w:basedOn w:val="17"/>
    <w:link w:val="10"/>
    <w:qFormat/>
    <w:locked/>
    <w:uiPriority w:val="0"/>
    <w:rPr>
      <w:rFonts w:eastAsia="宋体"/>
      <w:kern w:val="2"/>
      <w:sz w:val="18"/>
      <w:szCs w:val="18"/>
      <w:lang w:val="en-US" w:eastAsia="zh-CN" w:bidi="ar-SA"/>
    </w:rPr>
  </w:style>
  <w:style w:type="character" w:customStyle="1" w:styleId="24">
    <w:name w:val="标题 Char1"/>
    <w:link w:val="6"/>
    <w:qFormat/>
    <w:uiPriority w:val="0"/>
    <w:rPr>
      <w:rFonts w:eastAsia="方正小标宋_GBK"/>
      <w:b/>
      <w:kern w:val="44"/>
      <w:sz w:val="36"/>
      <w:szCs w:val="32"/>
      <w:lang w:bidi="ar-SA"/>
    </w:rPr>
  </w:style>
  <w:style w:type="paragraph" w:customStyle="1" w:styleId="25">
    <w:name w:val="主送"/>
    <w:basedOn w:val="4"/>
    <w:next w:val="1"/>
    <w:qFormat/>
    <w:uiPriority w:val="0"/>
    <w:pPr>
      <w:widowControl/>
      <w:spacing w:line="600" w:lineRule="exact"/>
      <w:jc w:val="left"/>
    </w:pPr>
    <w:rPr>
      <w:rFonts w:ascii="Calibri" w:hAnsi="Calibri"/>
      <w:kern w:val="0"/>
      <w:sz w:val="20"/>
    </w:rPr>
  </w:style>
  <w:style w:type="character" w:customStyle="1" w:styleId="26">
    <w:name w:val="Char Char1"/>
    <w:qFormat/>
    <w:uiPriority w:val="0"/>
    <w:rPr>
      <w:rFonts w:eastAsia="方正小标宋_GBK"/>
      <w:b/>
      <w:kern w:val="44"/>
      <w:sz w:val="36"/>
      <w:szCs w:val="32"/>
      <w:lang w:bidi="ar-SA"/>
    </w:rPr>
  </w:style>
  <w:style w:type="character" w:customStyle="1" w:styleId="27">
    <w:name w:val="Char Char5"/>
    <w:qFormat/>
    <w:uiPriority w:val="0"/>
    <w:rPr>
      <w:rFonts w:ascii="Times New Roman" w:hAnsi="Times New Roman" w:eastAsia="方正小标宋_GBK" w:cs="Times New Roman"/>
      <w:b/>
      <w:kern w:val="44"/>
      <w:sz w:val="36"/>
      <w:szCs w:val="32"/>
    </w:rPr>
  </w:style>
  <w:style w:type="paragraph" w:customStyle="1" w:styleId="28">
    <w:name w:val="_Style 27"/>
    <w:basedOn w:val="1"/>
    <w:qFormat/>
    <w:uiPriority w:val="0"/>
    <w:rPr>
      <w:sz w:val="28"/>
      <w:szCs w:val="28"/>
    </w:rPr>
  </w:style>
  <w:style w:type="character" w:customStyle="1" w:styleId="29">
    <w:name w:val="Char Char"/>
    <w:qFormat/>
    <w:locked/>
    <w:uiPriority w:val="0"/>
    <w:rPr>
      <w:rFonts w:ascii="方正小标宋_GBK" w:eastAsia="方正小标宋_GBK"/>
      <w:b/>
      <w:kern w:val="44"/>
      <w:sz w:val="36"/>
      <w:szCs w:val="32"/>
      <w:lang w:bidi="ar-SA"/>
    </w:rPr>
  </w:style>
  <w:style w:type="character" w:customStyle="1" w:styleId="30">
    <w:name w:val="标题 Char"/>
    <w:qFormat/>
    <w:locked/>
    <w:uiPriority w:val="0"/>
    <w:rPr>
      <w:rFonts w:ascii="方正小标宋_GBK" w:eastAsia="方正小标宋_GBK"/>
      <w:b/>
      <w:kern w:val="44"/>
      <w:sz w:val="36"/>
      <w:szCs w:val="32"/>
      <w:lang w:bidi="ar-SA"/>
    </w:rPr>
  </w:style>
  <w:style w:type="paragraph" w:customStyle="1" w:styleId="31">
    <w:name w:val="样式 标题 3 Char + 四号2"/>
    <w:basedOn w:val="1"/>
    <w:qFormat/>
    <w:uiPriority w:val="99"/>
    <w:pPr>
      <w:keepNext/>
      <w:keepLines/>
      <w:spacing w:line="360" w:lineRule="auto"/>
    </w:pPr>
    <w:rPr>
      <w:rFonts w:cs="宋体"/>
      <w:b/>
      <w:sz w:val="28"/>
      <w:szCs w:val="28"/>
    </w:rPr>
  </w:style>
  <w:style w:type="paragraph" w:customStyle="1" w:styleId="3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3">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2558</Words>
  <Characters>2724</Characters>
  <Lines>4</Lines>
  <Paragraphs>6</Paragraphs>
  <TotalTime>3981</TotalTime>
  <ScaleCrop>false</ScaleCrop>
  <LinksUpToDate>false</LinksUpToDate>
  <CharactersWithSpaces>2744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松谷斜阳</cp:lastModifiedBy>
  <cp:lastPrinted>2025-11-18T07:07:00Z</cp:lastPrinted>
  <dcterms:modified xsi:type="dcterms:W3CDTF">2026-01-12T03:01:59Z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991B197DAA0241C890BA5D77BA10F39A_13</vt:lpwstr>
  </property>
  <property fmtid="{D5CDD505-2E9C-101B-9397-08002B2CF9AE}" pid="4" name="KSOTemplateDocerSaveRecord">
    <vt:lpwstr>eyJoZGlkIjoiNGI0NjMzOTliMjNjN2QwYWY5MTNiZTdlMGZiODhlZmYiLCJ1c2VySWQiOiIzMDA5NjMzMTgifQ==</vt:lpwstr>
  </property>
</Properties>
</file>