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18"/>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101</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33C41527">
      <w:pPr>
        <w:widowControl/>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Times New Roman" w:eastAsia="方正小标宋简体" w:cs="Times New Roman"/>
          <w:spacing w:val="6"/>
          <w:sz w:val="44"/>
          <w:szCs w:val="44"/>
        </w:rPr>
        <w:t>玉林市发展和改革委员会</w:t>
      </w: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陆川古岭</w:t>
      </w:r>
    </w:p>
    <w:p w14:paraId="02D07907">
      <w:pPr>
        <w:widowControl/>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风电场项目</w:t>
      </w:r>
      <w:r>
        <w:rPr>
          <w:rFonts w:hint="eastAsia" w:ascii="方正小标宋简体" w:hAnsi="方正小标宋简体" w:eastAsia="方正小标宋简体" w:cs="方正小标宋简体"/>
          <w:bCs/>
          <w:color w:val="auto"/>
          <w:sz w:val="44"/>
          <w:szCs w:val="44"/>
        </w:rPr>
        <w:t>核准的批复</w:t>
      </w:r>
    </w:p>
    <w:p w14:paraId="19B7989B">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69DC5A7E">
      <w:pPr>
        <w:adjustRightInd w:val="0"/>
        <w:snapToGrid w:val="0"/>
        <w:spacing w:line="560" w:lineRule="exact"/>
        <w:rPr>
          <w:rFonts w:hint="eastAsia" w:ascii="仿宋_GB2312" w:hAnsi="Times New Roman" w:eastAsia="仿宋_GB2312" w:cs="Times New Roman"/>
          <w:color w:val="auto"/>
          <w:sz w:val="32"/>
          <w:szCs w:val="32"/>
        </w:rPr>
      </w:pPr>
      <w:bookmarkStart w:id="0" w:name="OLE_LINK3"/>
      <w:bookmarkStart w:id="1" w:name="OLE_LINK2"/>
      <w:r>
        <w:rPr>
          <w:rFonts w:hint="eastAsia" w:ascii="仿宋_GB2312" w:hAnsi="Times New Roman" w:eastAsia="仿宋_GB2312" w:cs="Times New Roman"/>
          <w:color w:val="auto"/>
          <w:sz w:val="32"/>
          <w:szCs w:val="32"/>
          <w:lang w:eastAsia="zh-CN"/>
        </w:rPr>
        <w:t>陆川</w:t>
      </w:r>
      <w:r>
        <w:rPr>
          <w:rFonts w:hint="eastAsia" w:ascii="仿宋_GB2312" w:hAnsi="Times New Roman" w:eastAsia="仿宋_GB2312" w:cs="Times New Roman"/>
          <w:color w:val="auto"/>
          <w:sz w:val="32"/>
          <w:szCs w:val="32"/>
        </w:rPr>
        <w:t>县发展和改革局</w:t>
      </w:r>
      <w:bookmarkEnd w:id="0"/>
      <w:bookmarkEnd w:id="1"/>
      <w:r>
        <w:rPr>
          <w:rFonts w:hint="eastAsia" w:ascii="仿宋_GB2312" w:hAnsi="Times New Roman" w:eastAsia="仿宋_GB2312" w:cs="Times New Roman"/>
          <w:color w:val="auto"/>
          <w:sz w:val="32"/>
          <w:szCs w:val="32"/>
          <w:lang w:eastAsia="zh-CN"/>
        </w:rPr>
        <w:t>：</w:t>
      </w:r>
    </w:p>
    <w:p w14:paraId="3A4CDFDB">
      <w:pPr>
        <w:spacing w:line="560" w:lineRule="exact"/>
        <w:ind w:firstLine="640" w:firstLineChars="200"/>
        <w:rPr>
          <w:rFonts w:hint="eastAsia" w:ascii="仿宋_GB2312" w:hAnsi="Times New Roman" w:eastAsia="仿宋_GB2312" w:cs="Times New Roman"/>
          <w:bCs/>
          <w:color w:val="auto"/>
          <w:sz w:val="32"/>
          <w:szCs w:val="32"/>
        </w:rPr>
      </w:pPr>
      <w:r>
        <w:rPr>
          <w:rFonts w:hint="eastAsia" w:ascii="仿宋_GB2312" w:hAnsi="Times New Roman" w:eastAsia="仿宋_GB2312" w:cs="Times New Roman"/>
          <w:color w:val="auto"/>
          <w:sz w:val="32"/>
          <w:szCs w:val="32"/>
        </w:rPr>
        <w:t>你局报来《</w:t>
      </w:r>
      <w:r>
        <w:rPr>
          <w:rFonts w:hint="eastAsia" w:ascii="仿宋_GB2312" w:hAnsi="Times New Roman" w:eastAsia="仿宋_GB2312" w:cs="Times New Roman"/>
          <w:color w:val="auto"/>
          <w:sz w:val="32"/>
          <w:szCs w:val="32"/>
          <w:lang w:eastAsia="zh-CN"/>
        </w:rPr>
        <w:t>陆川</w:t>
      </w:r>
      <w:r>
        <w:rPr>
          <w:rFonts w:hint="eastAsia" w:ascii="仿宋_GB2312" w:hAnsi="Times New Roman" w:eastAsia="仿宋_GB2312" w:cs="Times New Roman"/>
          <w:color w:val="auto"/>
          <w:sz w:val="32"/>
          <w:szCs w:val="32"/>
        </w:rPr>
        <w:t>县发展和改革局关于</w:t>
      </w:r>
      <w:r>
        <w:rPr>
          <w:rFonts w:hint="eastAsia" w:ascii="仿宋_GB2312" w:hAnsi="Times New Roman" w:eastAsia="仿宋_GB2312" w:cs="Times New Roman"/>
          <w:color w:val="auto"/>
          <w:sz w:val="32"/>
          <w:szCs w:val="32"/>
          <w:lang w:eastAsia="zh-CN"/>
        </w:rPr>
        <w:t>陆川古岭风电场项目</w:t>
      </w:r>
      <w:r>
        <w:rPr>
          <w:rFonts w:hint="eastAsia" w:ascii="仿宋_GB2312" w:hAnsi="Times New Roman" w:eastAsia="仿宋_GB2312" w:cs="Times New Roman"/>
          <w:color w:val="auto"/>
          <w:sz w:val="32"/>
          <w:szCs w:val="32"/>
        </w:rPr>
        <w:t>核准的请示》（</w:t>
      </w:r>
      <w:r>
        <w:rPr>
          <w:rFonts w:hint="eastAsia" w:ascii="仿宋_GB2312" w:hAnsi="Times New Roman" w:eastAsia="仿宋_GB2312" w:cs="Times New Roman"/>
          <w:color w:val="auto"/>
          <w:sz w:val="32"/>
          <w:szCs w:val="32"/>
          <w:lang w:eastAsia="zh-CN"/>
        </w:rPr>
        <w:t>陆</w:t>
      </w:r>
      <w:r>
        <w:rPr>
          <w:rFonts w:hint="eastAsia" w:ascii="仿宋_GB2312" w:hAnsi="Times New Roman" w:eastAsia="仿宋_GB2312" w:cs="Times New Roman"/>
          <w:color w:val="auto"/>
          <w:sz w:val="32"/>
          <w:szCs w:val="32"/>
        </w:rPr>
        <w:t>发改报〔2025〕</w:t>
      </w:r>
      <w:r>
        <w:rPr>
          <w:rFonts w:hint="eastAsia" w:ascii="仿宋_GB2312" w:hAnsi="Times New Roman" w:eastAsia="仿宋_GB2312" w:cs="Times New Roman"/>
          <w:color w:val="auto"/>
          <w:sz w:val="32"/>
          <w:szCs w:val="32"/>
          <w:lang w:val="en-US" w:eastAsia="zh-CN"/>
        </w:rPr>
        <w:t>112</w:t>
      </w:r>
      <w:r>
        <w:rPr>
          <w:rFonts w:hint="eastAsia" w:ascii="仿宋_GB2312" w:hAnsi="Times New Roman" w:eastAsia="仿宋_GB2312" w:cs="Times New Roman"/>
          <w:color w:val="auto"/>
          <w:sz w:val="32"/>
          <w:szCs w:val="32"/>
        </w:rPr>
        <w:t>号）及相关材料收悉。根据《广西壮族自治区发展和改革委员会关于调整陆上风电项目核准权限的通知》（桂发改新能〔2023〕726号），经研究，现将该项目核准事项批复如下：</w:t>
      </w:r>
    </w:p>
    <w:p w14:paraId="1612CE87">
      <w:pPr>
        <w:spacing w:line="560"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Times New Roman" w:eastAsia="仿宋_GB2312" w:cs="Times New Roman"/>
          <w:color w:val="auto"/>
          <w:sz w:val="32"/>
          <w:szCs w:val="32"/>
        </w:rPr>
        <w:t>一、</w:t>
      </w:r>
      <w:r>
        <w:rPr>
          <w:rFonts w:hint="eastAsia" w:ascii="仿宋_GB2312" w:hAnsi="仿宋_GB2312" w:eastAsia="仿宋_GB2312" w:cs="仿宋_GB2312"/>
          <w:snapToGrid w:val="0"/>
          <w:color w:val="auto"/>
          <w:kern w:val="0"/>
          <w:sz w:val="32"/>
          <w:szCs w:val="32"/>
        </w:rPr>
        <w:t>为</w:t>
      </w:r>
      <w:r>
        <w:rPr>
          <w:rFonts w:hint="eastAsia" w:ascii="仿宋_GB2312" w:hAnsi="Times New Roman" w:eastAsia="仿宋_GB2312" w:cs="Times New Roman"/>
          <w:color w:val="auto"/>
          <w:sz w:val="32"/>
          <w:szCs w:val="32"/>
        </w:rPr>
        <w:t>构建现代能源体系，大力发展清洁风电能源，</w:t>
      </w:r>
      <w:r>
        <w:rPr>
          <w:rFonts w:hint="eastAsia" w:ascii="仿宋_GB2312" w:hAnsi="仿宋_GB2312" w:eastAsia="仿宋_GB2312" w:cs="仿宋_GB2312"/>
          <w:snapToGrid w:val="0"/>
          <w:color w:val="auto"/>
          <w:kern w:val="0"/>
          <w:sz w:val="32"/>
          <w:szCs w:val="32"/>
        </w:rPr>
        <w:t>加快我市风能资源开发，保障能源</w:t>
      </w:r>
      <w:bookmarkStart w:id="2" w:name="_GoBack"/>
      <w:bookmarkEnd w:id="2"/>
      <w:r>
        <w:rPr>
          <w:rFonts w:hint="eastAsia" w:ascii="仿宋_GB2312" w:hAnsi="仿宋_GB2312" w:eastAsia="仿宋_GB2312" w:cs="仿宋_GB2312"/>
          <w:snapToGrid w:val="0"/>
          <w:color w:val="auto"/>
          <w:kern w:val="0"/>
          <w:sz w:val="32"/>
          <w:szCs w:val="32"/>
        </w:rPr>
        <w:t>供应安全，保护城乡生态环境，</w:t>
      </w:r>
      <w:r>
        <w:rPr>
          <w:rFonts w:hint="eastAsia" w:ascii="仿宋_GB2312" w:hAnsi="Times New Roman" w:eastAsia="仿宋_GB2312" w:cs="Times New Roman"/>
          <w:color w:val="auto"/>
          <w:sz w:val="32"/>
          <w:szCs w:val="32"/>
        </w:rPr>
        <w:t>依据《行政许可法》《企业投资项目核准和备案管理条例》《广西壮族自治区企业投资项目核准和备案管理办法》以及《广西壮族自治区发展和改革委员会关于调整陆上风电项目核准权限的通知》（桂发改新能〔2023〕726号）、《广西壮族自治区发展和改革委员会关于进一步做好陆上风电项目核准工作的通知》（桂发改新能〔2024〕47号）、《广西壮族自治区能源局关于印发2024年度陆上风电、集中式光伏发电项目建设方案的通知》（桂能新能</w:t>
      </w:r>
      <w:r>
        <w:rPr>
          <w:rFonts w:hint="eastAsia" w:ascii="仿宋_GB2312" w:hAnsi="华文中宋" w:eastAsia="仿宋_GB2312" w:cs="Times New Roman"/>
          <w:color w:val="auto"/>
          <w:sz w:val="32"/>
          <w:szCs w:val="32"/>
        </w:rPr>
        <w:t>〔</w:t>
      </w:r>
      <w:r>
        <w:rPr>
          <w:rFonts w:hint="eastAsia" w:ascii="仿宋_GB2312" w:hAnsi="Times New Roman" w:eastAsia="仿宋_GB2312" w:cs="Times New Roman"/>
          <w:color w:val="auto"/>
          <w:sz w:val="32"/>
          <w:szCs w:val="32"/>
        </w:rPr>
        <w:t>2024</w:t>
      </w:r>
      <w:r>
        <w:rPr>
          <w:rFonts w:ascii="仿宋_GB2312" w:hAnsi="华文中宋" w:eastAsia="仿宋_GB2312" w:cs="Times New Roman"/>
          <w:color w:val="auto"/>
          <w:sz w:val="32"/>
          <w:szCs w:val="32"/>
        </w:rPr>
        <w:t>〕</w:t>
      </w:r>
      <w:r>
        <w:rPr>
          <w:rFonts w:hint="eastAsia" w:ascii="仿宋_GB2312" w:hAnsi="Times New Roman" w:eastAsia="仿宋_GB2312" w:cs="Times New Roman"/>
          <w:color w:val="auto"/>
          <w:sz w:val="32"/>
          <w:szCs w:val="32"/>
        </w:rPr>
        <w:t>294号），原则同意建设</w:t>
      </w:r>
      <w:r>
        <w:rPr>
          <w:rFonts w:hint="eastAsia" w:ascii="仿宋_GB2312" w:hAnsi="Times New Roman" w:eastAsia="仿宋_GB2312" w:cs="Times New Roman"/>
          <w:color w:val="auto"/>
          <w:sz w:val="32"/>
          <w:szCs w:val="32"/>
          <w:lang w:eastAsia="zh-CN"/>
        </w:rPr>
        <w:t>陆川古岭风电场项目</w:t>
      </w:r>
      <w:r>
        <w:rPr>
          <w:rFonts w:hint="eastAsia" w:ascii="仿宋_GB2312" w:hAnsi="仿宋_GB2312" w:eastAsia="仿宋_GB2312" w:cs="仿宋_GB2312"/>
          <w:color w:val="auto"/>
          <w:sz w:val="32"/>
          <w:szCs w:val="32"/>
          <w:lang w:val="zh-CN"/>
        </w:rPr>
        <w:t>。</w:t>
      </w:r>
    </w:p>
    <w:p w14:paraId="4D9F28C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Times New Roman" w:eastAsia="仿宋_GB2312" w:cs="Times New Roman"/>
          <w:color w:val="auto"/>
          <w:sz w:val="32"/>
          <w:szCs w:val="32"/>
        </w:rPr>
        <w:t>二、项目名称：</w:t>
      </w:r>
      <w:r>
        <w:rPr>
          <w:rFonts w:hint="eastAsia" w:ascii="仿宋_GB2312" w:hAnsi="Times New Roman" w:eastAsia="仿宋_GB2312" w:cs="Times New Roman"/>
          <w:color w:val="auto"/>
          <w:sz w:val="32"/>
          <w:szCs w:val="32"/>
          <w:lang w:eastAsia="zh-CN"/>
        </w:rPr>
        <w:t>陆川古岭风电场</w:t>
      </w:r>
      <w:r>
        <w:rPr>
          <w:rFonts w:hint="eastAsia" w:ascii="仿宋_GB2312" w:hAnsi="仿宋_GB2312" w:eastAsia="仿宋_GB2312" w:cs="仿宋_GB2312"/>
          <w:snapToGrid w:val="0"/>
          <w:color w:val="auto"/>
          <w:kern w:val="0"/>
          <w:sz w:val="32"/>
          <w:szCs w:val="20"/>
        </w:rPr>
        <w:t>。</w:t>
      </w:r>
    </w:p>
    <w:p w14:paraId="08D104C8">
      <w:pPr>
        <w:spacing w:line="560" w:lineRule="exact"/>
        <w:ind w:firstLine="640" w:firstLineChars="200"/>
        <w:rPr>
          <w:rFonts w:hint="eastAsia" w:ascii="仿宋_GB2312" w:hAnsi="Times New Roman" w:eastAsia="仿宋_GB2312" w:cs="Times New Roman"/>
          <w:color w:val="auto"/>
          <w:sz w:val="32"/>
        </w:rPr>
      </w:pPr>
      <w:r>
        <w:rPr>
          <w:rFonts w:hint="eastAsia" w:ascii="仿宋_GB2312" w:hAnsi="Times New Roman" w:eastAsia="仿宋_GB2312" w:cs="Times New Roman"/>
          <w:color w:val="auto"/>
          <w:sz w:val="32"/>
          <w:szCs w:val="32"/>
        </w:rPr>
        <w:t>三、项目代码：</w:t>
      </w:r>
      <w:r>
        <w:rPr>
          <w:rFonts w:hint="eastAsia" w:ascii="楷体_GB2312" w:hAnsi="楷体_GB2312" w:eastAsia="楷体_GB2312" w:cs="楷体_GB2312"/>
          <w:color w:val="auto"/>
          <w:sz w:val="32"/>
          <w:szCs w:val="32"/>
        </w:rPr>
        <w:t>2501-450900-04-01-125961</w:t>
      </w:r>
      <w:r>
        <w:rPr>
          <w:rFonts w:hint="eastAsia" w:ascii="仿宋_GB2312" w:hAnsi="仿宋_GB2312" w:eastAsia="仿宋_GB2312" w:cs="仿宋_GB2312"/>
          <w:snapToGrid w:val="0"/>
          <w:color w:val="auto"/>
          <w:kern w:val="0"/>
          <w:sz w:val="32"/>
          <w:szCs w:val="20"/>
        </w:rPr>
        <w:t>。</w:t>
      </w:r>
    </w:p>
    <w:p w14:paraId="078D46A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Times New Roman" w:eastAsia="仿宋_GB2312" w:cs="Times New Roman"/>
          <w:color w:val="auto"/>
          <w:sz w:val="32"/>
          <w:szCs w:val="32"/>
        </w:rPr>
        <w:t>四、项目建设单位：</w:t>
      </w:r>
      <w:r>
        <w:rPr>
          <w:rFonts w:hint="eastAsia" w:ascii="仿宋_GB2312" w:hAnsi="Times New Roman" w:eastAsia="仿宋_GB2312" w:cs="Times New Roman"/>
          <w:color w:val="auto"/>
          <w:sz w:val="32"/>
          <w:szCs w:val="32"/>
          <w:lang w:eastAsia="zh-CN"/>
        </w:rPr>
        <w:t>广西陆川浙盛新能源有限公司</w:t>
      </w:r>
      <w:r>
        <w:rPr>
          <w:rFonts w:hint="eastAsia" w:ascii="仿宋_GB2312" w:hAnsi="仿宋_GB2312" w:eastAsia="仿宋_GB2312" w:cs="仿宋_GB2312"/>
          <w:snapToGrid w:val="0"/>
          <w:color w:val="auto"/>
          <w:kern w:val="0"/>
          <w:sz w:val="32"/>
          <w:szCs w:val="20"/>
        </w:rPr>
        <w:t>。</w:t>
      </w:r>
    </w:p>
    <w:p w14:paraId="0D7ACBB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Times New Roman" w:eastAsia="仿宋_GB2312" w:cs="Times New Roman"/>
          <w:color w:val="auto"/>
          <w:sz w:val="32"/>
          <w:szCs w:val="32"/>
        </w:rPr>
        <w:t>五、项目建设地点：</w:t>
      </w:r>
      <w:r>
        <w:rPr>
          <w:rFonts w:hint="eastAsia" w:ascii="仿宋_GB2312" w:hAnsi="仿宋_GB2312" w:eastAsia="仿宋_GB2312" w:cs="仿宋_GB2312"/>
          <w:color w:val="auto"/>
          <w:sz w:val="32"/>
          <w:szCs w:val="32"/>
          <w:lang w:eastAsia="zh-CN"/>
        </w:rPr>
        <w:t>陆川</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良田</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清湖</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、古城镇</w:t>
      </w:r>
      <w:r>
        <w:rPr>
          <w:rFonts w:hint="eastAsia" w:ascii="仿宋_GB2312" w:hAnsi="Times New Roman" w:eastAsia="仿宋_GB2312" w:cs="Times New Roman"/>
          <w:color w:val="auto"/>
          <w:sz w:val="32"/>
          <w:szCs w:val="32"/>
        </w:rPr>
        <w:t>。</w:t>
      </w:r>
    </w:p>
    <w:p w14:paraId="5EB557EB">
      <w:pPr>
        <w:spacing w:line="560" w:lineRule="exact"/>
        <w:ind w:firstLine="640" w:firstLineChars="200"/>
        <w:jc w:val="left"/>
        <w:rPr>
          <w:rFonts w:hint="eastAsia" w:ascii="仿宋_GB2312" w:hAnsi="Times New Roman" w:eastAsia="仿宋_GB2312" w:cs="Times New Roman"/>
          <w:color w:val="auto"/>
          <w:sz w:val="32"/>
          <w:szCs w:val="32"/>
        </w:rPr>
      </w:pPr>
      <w:r>
        <w:rPr>
          <w:rFonts w:hint="eastAsia" w:ascii="仿宋_GB2312" w:hAnsi="仿宋_GB2312" w:eastAsia="仿宋_GB2312" w:cs="仿宋_GB2312"/>
          <w:snapToGrid w:val="0"/>
          <w:color w:val="auto"/>
          <w:kern w:val="0"/>
          <w:sz w:val="32"/>
        </w:rPr>
        <w:t>六</w:t>
      </w:r>
      <w:r>
        <w:rPr>
          <w:rFonts w:hint="eastAsia" w:ascii="仿宋_GB2312" w:hAnsi="Times New Roman" w:eastAsia="仿宋_GB2312" w:cs="Times New Roman"/>
          <w:color w:val="auto"/>
          <w:sz w:val="32"/>
          <w:szCs w:val="32"/>
        </w:rPr>
        <w:t>、项目建设装机容量为</w:t>
      </w:r>
      <w:r>
        <w:rPr>
          <w:rFonts w:hint="eastAsia" w:ascii="仿宋_GB2312" w:hAnsi="Times New Roman" w:eastAsia="仿宋_GB2312" w:cs="Times New Roman"/>
          <w:color w:val="auto"/>
          <w:sz w:val="32"/>
          <w:szCs w:val="32"/>
          <w:lang w:val="en-US" w:eastAsia="zh-CN"/>
        </w:rPr>
        <w:t>90</w:t>
      </w:r>
      <w:r>
        <w:rPr>
          <w:rFonts w:hint="eastAsia" w:ascii="仿宋_GB2312" w:hAnsi="Times New Roman" w:eastAsia="仿宋_GB2312" w:cs="Times New Roman"/>
          <w:color w:val="auto"/>
          <w:sz w:val="32"/>
          <w:szCs w:val="32"/>
        </w:rPr>
        <w:t>兆瓦。本项目储能配比要求按照</w:t>
      </w:r>
      <w:r>
        <w:rPr>
          <w:rFonts w:hint="eastAsia" w:ascii="仿宋_GB2312" w:hAnsi="Times New Roman" w:eastAsia="仿宋_GB2312" w:cs="Times New Roman"/>
          <w:color w:val="auto"/>
          <w:sz w:val="32"/>
          <w:szCs w:val="32"/>
          <w:lang w:eastAsia="zh-CN"/>
        </w:rPr>
        <w:t>国家或自治区有关</w:t>
      </w:r>
      <w:r>
        <w:rPr>
          <w:rFonts w:hint="eastAsia" w:ascii="仿宋_GB2312" w:hAnsi="Times New Roman" w:eastAsia="仿宋_GB2312" w:cs="Times New Roman"/>
          <w:color w:val="auto"/>
          <w:sz w:val="32"/>
          <w:szCs w:val="32"/>
        </w:rPr>
        <w:t>规定执行。</w:t>
      </w:r>
    </w:p>
    <w:p w14:paraId="438082CE">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七</w:t>
      </w:r>
      <w:r>
        <w:rPr>
          <w:rFonts w:hint="eastAsia" w:ascii="仿宋_GB2312" w:hAnsi="仿宋_GB2312" w:eastAsia="仿宋_GB2312" w:cs="仿宋_GB2312"/>
          <w:snapToGrid w:val="0"/>
          <w:color w:val="auto"/>
          <w:kern w:val="0"/>
          <w:sz w:val="32"/>
        </w:rPr>
        <w:t>、项目总投资和资金来源：本工程项目总投资</w:t>
      </w:r>
      <w:r>
        <w:rPr>
          <w:rFonts w:hint="eastAsia" w:ascii="仿宋_GB2312" w:hAnsi="仿宋_GB2312" w:eastAsia="仿宋_GB2312" w:cs="仿宋_GB2312"/>
          <w:snapToGrid w:val="0"/>
          <w:color w:val="auto"/>
          <w:kern w:val="0"/>
          <w:sz w:val="32"/>
          <w:lang w:val="en-US" w:eastAsia="zh-CN"/>
        </w:rPr>
        <w:t>53691.23</w:t>
      </w:r>
      <w:r>
        <w:rPr>
          <w:rFonts w:hint="eastAsia" w:ascii="仿宋_GB2312" w:hAnsi="仿宋_GB2312" w:eastAsia="仿宋_GB2312" w:cs="仿宋_GB2312"/>
          <w:snapToGrid w:val="0"/>
          <w:color w:val="auto"/>
          <w:kern w:val="0"/>
          <w:sz w:val="32"/>
        </w:rPr>
        <w:t>万元。项目资本</w:t>
      </w:r>
      <w:r>
        <w:rPr>
          <w:rFonts w:hint="eastAsia" w:ascii="仿宋_GB2312" w:hAnsi="仿宋_GB2312" w:eastAsia="仿宋_GB2312" w:cs="仿宋_GB2312"/>
          <w:snapToGrid w:val="0"/>
          <w:color w:val="auto"/>
          <w:kern w:val="0"/>
          <w:sz w:val="32"/>
          <w:lang w:eastAsia="zh-CN"/>
        </w:rPr>
        <w:t>金</w:t>
      </w:r>
      <w:r>
        <w:rPr>
          <w:rFonts w:hint="eastAsia" w:ascii="仿宋_GB2312" w:hAnsi="仿宋_GB2312" w:eastAsia="仿宋_GB2312" w:cs="仿宋_GB2312"/>
          <w:snapToGrid w:val="0"/>
          <w:color w:val="auto"/>
          <w:kern w:val="0"/>
          <w:sz w:val="32"/>
        </w:rPr>
        <w:t>占项目投资总额20%，由</w:t>
      </w:r>
      <w:r>
        <w:rPr>
          <w:rFonts w:hint="eastAsia" w:ascii="仿宋_GB2312" w:hAnsi="仿宋_GB2312" w:eastAsia="仿宋_GB2312" w:cs="仿宋_GB2312"/>
          <w:snapToGrid w:val="0"/>
          <w:color w:val="auto"/>
          <w:kern w:val="0"/>
          <w:sz w:val="32"/>
          <w:lang w:eastAsia="zh-CN"/>
        </w:rPr>
        <w:t>广西陆川浙盛新能源有限公司</w:t>
      </w:r>
      <w:r>
        <w:rPr>
          <w:rFonts w:hint="eastAsia" w:ascii="仿宋_GB2312" w:hAnsi="宋体" w:eastAsia="仿宋_GB2312" w:cs="Times New Roman"/>
          <w:color w:val="auto"/>
          <w:sz w:val="32"/>
          <w:szCs w:val="32"/>
        </w:rPr>
        <w:t>自有资金出资</w:t>
      </w:r>
      <w:r>
        <w:rPr>
          <w:rFonts w:hint="eastAsia" w:ascii="仿宋_GB2312" w:hAnsi="仿宋_GB2312" w:eastAsia="仿宋_GB2312" w:cs="仿宋_GB2312"/>
          <w:snapToGrid w:val="0"/>
          <w:color w:val="auto"/>
          <w:kern w:val="0"/>
          <w:sz w:val="32"/>
        </w:rPr>
        <w:t>，其余资金申请银行贷款解决。</w:t>
      </w:r>
    </w:p>
    <w:p w14:paraId="1E1C5948">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Times New Roman" w:eastAsia="仿宋_GB2312" w:cs="Times New Roman"/>
          <w:color w:val="auto"/>
          <w:sz w:val="32"/>
          <w:szCs w:val="32"/>
        </w:rPr>
        <w:t>八</w:t>
      </w:r>
      <w:r>
        <w:rPr>
          <w:rFonts w:hint="eastAsia" w:ascii="仿宋_GB2312" w:hAnsi="宋体" w:eastAsia="仿宋_GB2312" w:cs="Times New Roman"/>
          <w:color w:val="auto"/>
          <w:sz w:val="32"/>
          <w:szCs w:val="32"/>
        </w:rPr>
        <w:t>、项目开发建设过程中要认真落实各项节能措施并选用节能产品，项目环保、水保等设施必须执行与主体工程同时设计、同时建设、同时验收投入使用的规定。</w:t>
      </w:r>
    </w:p>
    <w:p w14:paraId="4160967A">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九、本项目招标范围包括项目勘察、设计、建筑工程、安装工程、监理、主要设备和材料的采购，请项目建设单位严格执行国家及自治区有关招标投标的规定，按照本批复所附《项目招标核准意见表》的要求，工程招标活动由项目单位按照《中华人民共和国招标投标法》有关规定组织实施。</w:t>
      </w:r>
    </w:p>
    <w:p w14:paraId="5577AD6A">
      <w:pPr>
        <w:adjustRightInd w:val="0"/>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十、项目核准的支持性文件是：</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广西壮族自治区能源局关于印发2024年度陆上风电、集中式光伏发电项目建设方案的通知》（桂能新能〔2024〕294号）、玉林市自然资源局《建设项目用地预审与选址意见书》（用字第</w:t>
      </w:r>
      <w:r>
        <w:rPr>
          <w:rFonts w:hint="eastAsia" w:ascii="仿宋_GB2312" w:hAnsi="仿宋_GB2312" w:eastAsia="仿宋_GB2312" w:cs="仿宋_GB2312"/>
          <w:color w:val="auto"/>
          <w:sz w:val="32"/>
          <w:szCs w:val="32"/>
          <w:lang w:val="en-US" w:eastAsia="zh-CN"/>
        </w:rPr>
        <w:t>4509222025XS0004</w:t>
      </w:r>
      <w:r>
        <w:rPr>
          <w:rFonts w:hint="eastAsia" w:ascii="仿宋_GB2312" w:hAnsi="Times New Roman" w:eastAsia="仿宋_GB2312" w:cs="Times New Roman"/>
          <w:color w:val="auto"/>
          <w:sz w:val="32"/>
          <w:szCs w:val="32"/>
        </w:rPr>
        <w:t>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陆川</w:t>
      </w:r>
      <w:r>
        <w:rPr>
          <w:rFonts w:hint="eastAsia" w:ascii="仿宋_GB2312" w:hAnsi="仿宋_GB2312" w:eastAsia="仿宋_GB2312" w:cs="仿宋_GB2312"/>
          <w:color w:val="auto"/>
          <w:sz w:val="32"/>
          <w:szCs w:val="32"/>
        </w:rPr>
        <w:t>县人民政府关于</w:t>
      </w:r>
      <w:r>
        <w:rPr>
          <w:rFonts w:hint="eastAsia" w:ascii="仿宋_GB2312" w:hAnsi="仿宋_GB2312" w:eastAsia="仿宋_GB2312" w:cs="仿宋_GB2312"/>
          <w:color w:val="auto"/>
          <w:sz w:val="32"/>
          <w:szCs w:val="32"/>
          <w:lang w:eastAsia="zh-CN"/>
        </w:rPr>
        <w:t>陆川古岭风电场项目</w:t>
      </w:r>
      <w:r>
        <w:rPr>
          <w:rFonts w:hint="eastAsia" w:ascii="仿宋_GB2312" w:hAnsi="仿宋_GB2312" w:eastAsia="仿宋_GB2312" w:cs="仿宋_GB2312"/>
          <w:color w:val="auto"/>
          <w:sz w:val="32"/>
          <w:szCs w:val="32"/>
        </w:rPr>
        <w:t>社会稳定风险分析报告的批复》（</w:t>
      </w:r>
      <w:r>
        <w:rPr>
          <w:rFonts w:hint="eastAsia" w:ascii="仿宋_GB2312" w:hAnsi="Times New Roman" w:eastAsia="仿宋_GB2312" w:cs="Times New Roman"/>
          <w:color w:val="auto"/>
          <w:sz w:val="32"/>
          <w:szCs w:val="32"/>
          <w:lang w:eastAsia="zh-CN"/>
        </w:rPr>
        <w:t>陆</w:t>
      </w:r>
      <w:r>
        <w:rPr>
          <w:rFonts w:hint="eastAsia" w:ascii="仿宋_GB2312" w:hAnsi="Times New Roman" w:eastAsia="仿宋_GB2312" w:cs="Times New Roman"/>
          <w:color w:val="auto"/>
          <w:sz w:val="32"/>
          <w:szCs w:val="32"/>
        </w:rPr>
        <w:t>政函〔</w:t>
      </w:r>
      <w:r>
        <w:rPr>
          <w:rFonts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rPr>
        <w:t>5〕5</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号</w:t>
      </w:r>
      <w:r>
        <w:rPr>
          <w:rFonts w:hint="eastAsia" w:ascii="仿宋_GB2312" w:hAnsi="仿宋_GB2312" w:eastAsia="仿宋_GB2312" w:cs="仿宋_GB2312"/>
          <w:color w:val="auto"/>
          <w:sz w:val="32"/>
          <w:szCs w:val="32"/>
        </w:rPr>
        <w:t>）</w:t>
      </w:r>
      <w:r>
        <w:rPr>
          <w:rFonts w:hint="eastAsia" w:ascii="仿宋_GB2312" w:hAnsi="Times New Roman" w:eastAsia="仿宋_GB2312" w:cs="Times New Roman"/>
          <w:color w:val="auto"/>
          <w:sz w:val="32"/>
          <w:szCs w:val="32"/>
        </w:rPr>
        <w:t>。</w:t>
      </w:r>
    </w:p>
    <w:p w14:paraId="048E81E4">
      <w:pPr>
        <w:adjustRightInd w:val="0"/>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十一、请项目单位在项目开工建设前，依据相关法律、行政法规规定办理规划许可、土地使用、资源利用、安全生产、稳评、环评等相关报建手续。</w:t>
      </w:r>
    </w:p>
    <w:p w14:paraId="5D744F55">
      <w:pPr>
        <w:adjustRightInd w:val="0"/>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二、请项目业主同步将大件运输初步方案报备交通运输主管部门，收集提供建设指标项目信息和运输需求，包括项目名称、所属县、场址中心坐标、装机容量、项目业主联系方式、大件运输清单（逐件列举货物名称、数量、规格型号、尺寸、重量、计划开始运输年月</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、对外交通路线图（从高速出口或国省道县界位置到场内道路，装车地点到公路界或高速公路连接线、收费站的通行路线</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等。</w:t>
      </w:r>
    </w:p>
    <w:p w14:paraId="23B2F1D6">
      <w:pPr>
        <w:adjustRightInd w:val="0"/>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三、如需对本项目核准文件所规定的建设地点、建设规模、主要建设内容等进行调整，请按照《企业投资项目核准和备案管理办法》有关规定，及时提出变更申请，我委将根据项目具体情况，作出是否同意变更的书面决定。</w:t>
      </w:r>
      <w:r>
        <w:rPr>
          <w:rFonts w:hint="eastAsia" w:ascii="仿宋_GB2312" w:hAnsi="Times New Roman" w:eastAsia="仿宋_GB2312" w:cs="Times New Roman"/>
          <w:color w:val="auto"/>
          <w:sz w:val="32"/>
          <w:szCs w:val="32"/>
        </w:rPr>
        <w:cr/>
      </w:r>
      <w:r>
        <w:rPr>
          <w:rFonts w:hint="eastAsia" w:ascii="仿宋_GB2312" w:hAnsi="Times New Roman" w:eastAsia="仿宋_GB2312" w:cs="Times New Roman"/>
          <w:color w:val="auto"/>
          <w:sz w:val="32"/>
          <w:szCs w:val="32"/>
        </w:rPr>
        <w:t xml:space="preserve">    十四、本核准文件有效期2年，自发布之日起计算。在核准文件有效期内未开工建设项目的，应在核准文件有效期届满的30个工作日前向我委申请延期，只能延期一次，期限最长不超过1年。项目在核准文件有效期内未开工建设也未申请延期的，或虽提出延期申请但未获批准的，本核准文件自动失效。</w:t>
      </w:r>
      <w:r>
        <w:rPr>
          <w:rFonts w:hint="eastAsia" w:ascii="仿宋_GB2312" w:hAnsi="Times New Roman" w:eastAsia="仿宋_GB2312" w:cs="Times New Roman"/>
          <w:color w:val="auto"/>
          <w:sz w:val="32"/>
          <w:szCs w:val="32"/>
        </w:rPr>
        <w:cr/>
      </w:r>
      <w:r>
        <w:rPr>
          <w:rFonts w:hint="eastAsia" w:ascii="仿宋_GB2312" w:hAnsi="Times New Roman" w:eastAsia="仿宋_GB2312" w:cs="Times New Roman"/>
          <w:color w:val="auto"/>
          <w:sz w:val="32"/>
          <w:szCs w:val="32"/>
        </w:rPr>
        <w:t xml:space="preserve">    十五、本项目核准后，项目单位应积极与电网企业对接，电网企业应按有关规定做好并网服务等相关工作，确保项目的建设计划及并网工作有序推进。  </w:t>
      </w:r>
      <w:r>
        <w:rPr>
          <w:rFonts w:hint="eastAsia" w:ascii="仿宋_GB2312" w:hAnsi="Times New Roman" w:eastAsia="仿宋_GB2312" w:cs="Times New Roman"/>
          <w:color w:val="auto"/>
          <w:sz w:val="32"/>
          <w:szCs w:val="32"/>
        </w:rPr>
        <w:cr/>
      </w:r>
      <w:r>
        <w:rPr>
          <w:rFonts w:hint="eastAsia" w:ascii="仿宋_GB2312" w:hAnsi="Times New Roman" w:eastAsia="仿宋_GB2312" w:cs="Times New Roman"/>
          <w:color w:val="auto"/>
          <w:sz w:val="32"/>
          <w:szCs w:val="32"/>
        </w:rPr>
        <w:t xml:space="preserve">    十</w:t>
      </w:r>
      <w:r>
        <w:rPr>
          <w:rFonts w:hint="eastAsia" w:ascii="仿宋_GB2312" w:hAnsi="Times New Roman" w:eastAsia="仿宋_GB2312" w:cs="Times New Roman"/>
          <w:color w:val="auto"/>
          <w:sz w:val="32"/>
          <w:szCs w:val="32"/>
          <w:lang w:eastAsia="zh-CN"/>
        </w:rPr>
        <w:t>六</w:t>
      </w:r>
      <w:r>
        <w:rPr>
          <w:rFonts w:hint="eastAsia" w:ascii="仿宋_GB2312" w:hAnsi="Times New Roman" w:eastAsia="仿宋_GB2312" w:cs="Times New Roman"/>
          <w:color w:val="auto"/>
          <w:sz w:val="32"/>
          <w:szCs w:val="32"/>
        </w:rPr>
        <w:t>、项目单位必须严格按照《国家能源局关于进一步明确电力建设工程质量监督机构业务工作的通知》（国能函安全〔2020〕39号）等文件要求，自觉接受项目管理部门的监督检查。</w:t>
      </w:r>
      <w:r>
        <w:rPr>
          <w:rFonts w:hint="eastAsia" w:ascii="仿宋_GB2312" w:hAnsi="Times New Roman" w:eastAsia="仿宋_GB2312" w:cs="Times New Roman"/>
          <w:color w:val="auto"/>
          <w:sz w:val="32"/>
          <w:szCs w:val="32"/>
        </w:rPr>
        <w:cr/>
      </w:r>
      <w:r>
        <w:rPr>
          <w:rFonts w:hint="eastAsia" w:ascii="仿宋_GB2312" w:hAnsi="Times New Roman" w:eastAsia="仿宋_GB2312" w:cs="Times New Roman"/>
          <w:color w:val="auto"/>
          <w:sz w:val="32"/>
          <w:szCs w:val="32"/>
        </w:rPr>
        <w:t xml:space="preserve">    十</w:t>
      </w:r>
      <w:r>
        <w:rPr>
          <w:rFonts w:hint="eastAsia" w:ascii="仿宋_GB2312" w:hAnsi="Times New Roman" w:eastAsia="仿宋_GB2312" w:cs="Times New Roman"/>
          <w:color w:val="auto"/>
          <w:sz w:val="32"/>
          <w:szCs w:val="32"/>
          <w:lang w:eastAsia="zh-CN"/>
        </w:rPr>
        <w:t>七</w:t>
      </w:r>
      <w:r>
        <w:rPr>
          <w:rFonts w:hint="eastAsia" w:ascii="仿宋_GB2312" w:hAnsi="Times New Roman" w:eastAsia="仿宋_GB2312" w:cs="Times New Roman"/>
          <w:color w:val="auto"/>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09A13D2">
      <w:pPr>
        <w:spacing w:line="560" w:lineRule="exact"/>
        <w:ind w:left="-359" w:leftChars="-171" w:firstLine="822" w:firstLineChars="257"/>
        <w:rPr>
          <w:rFonts w:hint="eastAsia" w:ascii="仿宋_GB2312" w:hAnsi="仿宋" w:eastAsia="仿宋_GB2312" w:cs="Times New Roman"/>
          <w:color w:val="auto"/>
          <w:sz w:val="32"/>
          <w:szCs w:val="32"/>
        </w:rPr>
      </w:pPr>
    </w:p>
    <w:p w14:paraId="16EA57C1">
      <w:pPr>
        <w:spacing w:line="580" w:lineRule="exact"/>
        <w:ind w:left="319" w:leftChars="152" w:firstLine="320" w:firstLineChars="100"/>
        <w:rPr>
          <w:rFonts w:hint="eastAsia" w:ascii="仿宋_GB2312" w:hAnsi="Times New Roman" w:eastAsia="仿宋_GB2312" w:cs="Times New Roman"/>
          <w:color w:val="auto"/>
          <w:sz w:val="32"/>
          <w:szCs w:val="32"/>
        </w:rPr>
      </w:pPr>
      <w:r>
        <w:rPr>
          <w:rFonts w:hint="eastAsia" w:ascii="仿宋_GB2312" w:hAnsi="仿宋_GB2312" w:eastAsia="仿宋_GB2312" w:cs="仿宋_GB2312"/>
          <w:color w:val="auto"/>
          <w:sz w:val="32"/>
          <w:szCs w:val="32"/>
        </w:rPr>
        <w:t>附件：</w:t>
      </w:r>
      <w:r>
        <w:rPr>
          <w:rFonts w:hint="eastAsia" w:ascii="仿宋_GB2312" w:hAnsi="Times New Roman" w:eastAsia="仿宋_GB2312" w:cs="Times New Roman"/>
          <w:color w:val="auto"/>
          <w:sz w:val="32"/>
          <w:szCs w:val="32"/>
        </w:rPr>
        <w:t>1、招标事项核准意见表</w:t>
      </w:r>
    </w:p>
    <w:p w14:paraId="008D2376">
      <w:pPr>
        <w:spacing w:line="580" w:lineRule="exact"/>
        <w:ind w:left="319" w:leftChars="152" w:firstLine="320" w:firstLineChars="1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      2、电力项目安全管理和质量管控事项告知书</w:t>
      </w:r>
    </w:p>
    <w:p w14:paraId="30D88E70">
      <w:pPr>
        <w:spacing w:line="580" w:lineRule="exact"/>
        <w:ind w:left="319" w:leftChars="152" w:firstLine="320" w:firstLineChars="1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     </w:t>
      </w:r>
    </w:p>
    <w:p w14:paraId="285EEA2B">
      <w:pPr>
        <w:spacing w:line="580" w:lineRule="exact"/>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　　　　　　　　　　　　玉林市发展和改革委员会</w:t>
      </w:r>
    </w:p>
    <w:p w14:paraId="2922468B">
      <w:pPr>
        <w:pStyle w:val="31"/>
        <w:keepNext w:val="0"/>
        <w:keepLines w:val="0"/>
        <w:pageBreakBefore w:val="0"/>
        <w:widowControl w:val="0"/>
        <w:kinsoku/>
        <w:wordWrap/>
        <w:overflowPunct/>
        <w:topLinePunct w:val="0"/>
        <w:bidi w:val="0"/>
        <w:snapToGrid/>
        <w:spacing w:line="640" w:lineRule="exact"/>
        <w:ind w:firstLine="4160" w:firstLineChars="1300"/>
        <w:jc w:val="both"/>
        <w:textAlignment w:val="auto"/>
        <w:rPr>
          <w:rFonts w:eastAsia="仿宋_GB2312"/>
          <w:sz w:val="32"/>
          <w:szCs w:val="32"/>
        </w:rPr>
      </w:pPr>
      <w:r>
        <w:rPr>
          <w:rFonts w:hint="eastAsia" w:ascii="仿宋_GB2312" w:hAnsi="仿宋" w:eastAsia="仿宋_GB2312" w:cs="Times New Roman"/>
          <w:color w:val="auto"/>
          <w:sz w:val="32"/>
          <w:szCs w:val="32"/>
        </w:rPr>
        <w:t>　2025年</w:t>
      </w:r>
      <w:r>
        <w:rPr>
          <w:rFonts w:hint="eastAsia" w:ascii="仿宋_GB2312" w:hAnsi="仿宋" w:eastAsia="仿宋_GB2312" w:cs="Times New Roman"/>
          <w:color w:val="auto"/>
          <w:sz w:val="32"/>
          <w:szCs w:val="32"/>
          <w:lang w:val="en-US" w:eastAsia="zh-CN"/>
        </w:rPr>
        <w:t>12</w:t>
      </w:r>
      <w:r>
        <w:rPr>
          <w:rFonts w:hint="eastAsia" w:ascii="仿宋_GB2312" w:hAnsi="仿宋" w:eastAsia="仿宋_GB2312" w:cs="Times New Roman"/>
          <w:color w:val="auto"/>
          <w:sz w:val="32"/>
          <w:szCs w:val="32"/>
        </w:rPr>
        <w:t>月</w:t>
      </w:r>
      <w:r>
        <w:rPr>
          <w:rFonts w:hint="eastAsia" w:ascii="仿宋_GB2312" w:hAnsi="仿宋" w:eastAsia="仿宋_GB2312" w:cs="Times New Roman"/>
          <w:color w:val="auto"/>
          <w:sz w:val="32"/>
          <w:szCs w:val="32"/>
          <w:lang w:val="en-US" w:eastAsia="zh-CN"/>
        </w:rPr>
        <w:t>5</w:t>
      </w:r>
      <w:r>
        <w:rPr>
          <w:rFonts w:hint="eastAsia" w:ascii="仿宋_GB2312" w:hAnsi="仿宋" w:eastAsia="仿宋_GB2312" w:cs="Times New Roman"/>
          <w:color w:val="auto"/>
          <w:sz w:val="32"/>
          <w:szCs w:val="32"/>
        </w:rPr>
        <w:t>日</w:t>
      </w:r>
      <w:r>
        <w:rPr>
          <w:rFonts w:hint="eastAsia" w:ascii="仿宋_GB2312" w:hAnsi="宋体" w:eastAsia="仿宋_GB2312" w:cs="Times New Roman"/>
          <w:sz w:val="32"/>
          <w:szCs w:val="32"/>
        </w:rPr>
        <w:t xml:space="preserve">   </w:t>
      </w:r>
    </w:p>
    <w:p w14:paraId="2E70EDF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0E15521">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3"/>
        <w:tblW w:w="0" w:type="auto"/>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4261"/>
        <w:gridCol w:w="4667"/>
      </w:tblGrid>
      <w:tr w14:paraId="0DA17470">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top"/>
          </w:tcPr>
          <w:p w14:paraId="5AC788CD">
            <w:pPr>
              <w:spacing w:line="580" w:lineRule="exact"/>
              <w:rPr>
                <w:rFonts w:hint="eastAsia" w:ascii="仿宋_GB2312" w:hAnsi="华文中宋" w:eastAsia="仿宋_GB2312" w:cs="Times New Roman"/>
                <w:b/>
                <w:color w:val="auto"/>
                <w:sz w:val="28"/>
                <w:szCs w:val="28"/>
              </w:rPr>
            </w:pPr>
          </w:p>
          <w:p w14:paraId="6D11ECA1">
            <w:pPr>
              <w:spacing w:line="580" w:lineRule="exact"/>
              <w:rPr>
                <w:rFonts w:hint="eastAsia" w:ascii="黑体" w:hAnsi="黑体" w:eastAsia="黑体" w:cs="Times New Roman"/>
                <w:b/>
                <w:color w:val="auto"/>
                <w:sz w:val="28"/>
                <w:szCs w:val="28"/>
              </w:rPr>
            </w:pPr>
            <w:r>
              <w:rPr>
                <w:rFonts w:hint="eastAsia" w:ascii="仿宋_GB2312" w:hAnsi="华文中宋" w:eastAsia="仿宋_GB2312" w:cs="Times New Roman"/>
                <w:b/>
                <w:color w:val="auto"/>
                <w:sz w:val="28"/>
                <w:szCs w:val="28"/>
              </w:rPr>
              <w:t>公开属性：主动公开</w:t>
            </w:r>
          </w:p>
        </w:tc>
      </w:tr>
      <w:tr w14:paraId="1A36BDE9">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center"/>
          </w:tcPr>
          <w:p w14:paraId="060FAEBE">
            <w:pPr>
              <w:spacing w:line="580" w:lineRule="exact"/>
              <w:ind w:left="1121" w:leftChars="134" w:hanging="840" w:hangingChars="300"/>
              <w:jc w:val="left"/>
              <w:rPr>
                <w:rFonts w:hint="eastAsia" w:ascii="仿宋_GB2312" w:hAnsi="华文中宋" w:eastAsia="仿宋_GB2312" w:cs="Times New Roman"/>
                <w:color w:val="auto"/>
                <w:sz w:val="28"/>
                <w:szCs w:val="28"/>
              </w:rPr>
            </w:pPr>
            <w:r>
              <w:rPr>
                <w:rFonts w:hint="eastAsia" w:ascii="仿宋_GB2312" w:hAnsi="华文中宋" w:eastAsia="仿宋_GB2312" w:cs="Times New Roman"/>
                <w:color w:val="auto"/>
                <w:sz w:val="28"/>
                <w:szCs w:val="28"/>
              </w:rPr>
              <w:t>抄送：广西壮族自治区发展和改革委员会，国家能源局南方监管局，      广西电网有限责任公司玉林供电局，玉林市自然资源局，玉林市林业局，玉林市交通运输局，</w:t>
            </w:r>
            <w:r>
              <w:rPr>
                <w:rFonts w:hint="eastAsia" w:ascii="仿宋_GB2312" w:hAnsi="华文中宋" w:eastAsia="仿宋_GB2312" w:cs="Times New Roman"/>
                <w:color w:val="auto"/>
                <w:sz w:val="28"/>
                <w:szCs w:val="28"/>
                <w:lang w:eastAsia="zh-CN"/>
              </w:rPr>
              <w:t>陆川</w:t>
            </w:r>
            <w:r>
              <w:rPr>
                <w:rFonts w:hint="eastAsia" w:ascii="仿宋_GB2312" w:hAnsi="华文中宋" w:eastAsia="仿宋_GB2312" w:cs="Times New Roman"/>
                <w:color w:val="auto"/>
                <w:sz w:val="28"/>
                <w:szCs w:val="28"/>
              </w:rPr>
              <w:t>县人民政府</w:t>
            </w:r>
          </w:p>
        </w:tc>
      </w:tr>
      <w:tr w14:paraId="487BAC6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4261" w:type="dxa"/>
            <w:noWrap w:val="0"/>
            <w:vAlign w:val="top"/>
          </w:tcPr>
          <w:p w14:paraId="634F33C3">
            <w:pPr>
              <w:spacing w:line="580" w:lineRule="exact"/>
              <w:ind w:firstLine="280" w:firstLineChars="100"/>
              <w:rPr>
                <w:rFonts w:hint="eastAsia" w:ascii="仿宋_GB2312" w:hAnsi="华文中宋" w:eastAsia="仿宋_GB2312" w:cs="Times New Roman"/>
                <w:color w:val="auto"/>
                <w:sz w:val="28"/>
                <w:szCs w:val="28"/>
              </w:rPr>
            </w:pPr>
            <w:r>
              <w:rPr>
                <w:rFonts w:hint="eastAsia" w:ascii="仿宋_GB2312" w:hAnsi="华文中宋" w:eastAsia="仿宋_GB2312" w:cs="Times New Roman"/>
                <w:color w:val="auto"/>
                <w:sz w:val="28"/>
                <w:szCs w:val="28"/>
              </w:rPr>
              <w:t>玉林市发展和改革委员会</w:t>
            </w:r>
          </w:p>
        </w:tc>
        <w:tc>
          <w:tcPr>
            <w:tcW w:w="4667" w:type="dxa"/>
            <w:noWrap w:val="0"/>
            <w:vAlign w:val="top"/>
          </w:tcPr>
          <w:p w14:paraId="598FC3A4">
            <w:pPr>
              <w:wordWrap w:val="0"/>
              <w:spacing w:line="580" w:lineRule="exact"/>
              <w:jc w:val="right"/>
              <w:rPr>
                <w:rFonts w:hint="eastAsia" w:ascii="仿宋_GB2312" w:hAnsi="华文中宋" w:eastAsia="仿宋_GB2312" w:cs="Times New Roman"/>
                <w:color w:val="auto"/>
                <w:sz w:val="28"/>
                <w:szCs w:val="28"/>
              </w:rPr>
            </w:pPr>
            <w:r>
              <w:rPr>
                <w:rFonts w:ascii="仿宋_GB2312" w:hAnsi="华文中宋" w:eastAsia="仿宋_GB2312" w:cs="Times New Roman"/>
                <w:color w:val="auto"/>
                <w:sz w:val="28"/>
                <w:szCs w:val="28"/>
              </w:rPr>
              <w:t>20</w:t>
            </w:r>
            <w:r>
              <w:rPr>
                <w:rFonts w:hint="eastAsia" w:ascii="仿宋_GB2312" w:hAnsi="华文中宋" w:eastAsia="仿宋_GB2312" w:cs="Times New Roman"/>
                <w:color w:val="auto"/>
                <w:sz w:val="28"/>
                <w:szCs w:val="28"/>
              </w:rPr>
              <w:t>25</w:t>
            </w:r>
            <w:r>
              <w:rPr>
                <w:rFonts w:ascii="仿宋_GB2312" w:hAnsi="华文中宋" w:eastAsia="仿宋_GB2312" w:cs="Times New Roman"/>
                <w:color w:val="auto"/>
                <w:sz w:val="28"/>
                <w:szCs w:val="28"/>
              </w:rPr>
              <w:t>年</w:t>
            </w:r>
            <w:r>
              <w:rPr>
                <w:rFonts w:hint="eastAsia" w:ascii="仿宋_GB2312" w:hAnsi="华文中宋" w:eastAsia="仿宋_GB2312" w:cs="Times New Roman"/>
                <w:color w:val="auto"/>
                <w:sz w:val="28"/>
                <w:szCs w:val="28"/>
                <w:lang w:val="en-US" w:eastAsia="zh-CN"/>
              </w:rPr>
              <w:t>12</w:t>
            </w:r>
            <w:r>
              <w:rPr>
                <w:rFonts w:ascii="仿宋_GB2312" w:hAnsi="华文中宋" w:eastAsia="仿宋_GB2312" w:cs="Times New Roman"/>
                <w:color w:val="auto"/>
                <w:sz w:val="28"/>
                <w:szCs w:val="28"/>
              </w:rPr>
              <w:t>月</w:t>
            </w:r>
            <w:r>
              <w:rPr>
                <w:rFonts w:hint="eastAsia" w:ascii="仿宋_GB2312" w:hAnsi="华文中宋" w:eastAsia="仿宋_GB2312" w:cs="Times New Roman"/>
                <w:color w:val="auto"/>
                <w:sz w:val="28"/>
                <w:szCs w:val="28"/>
                <w:lang w:val="en-US" w:eastAsia="zh-CN"/>
              </w:rPr>
              <w:t>5</w:t>
            </w:r>
            <w:r>
              <w:rPr>
                <w:rFonts w:ascii="仿宋_GB2312" w:hAnsi="华文中宋" w:eastAsia="仿宋_GB2312" w:cs="Times New Roman"/>
                <w:color w:val="auto"/>
                <w:sz w:val="28"/>
                <w:szCs w:val="28"/>
              </w:rPr>
              <w:t>日</w:t>
            </w:r>
            <w:r>
              <w:rPr>
                <w:rFonts w:hint="eastAsia" w:ascii="仿宋_GB2312" w:hAnsi="华文中宋" w:eastAsia="仿宋_GB2312" w:cs="Times New Roman"/>
                <w:color w:val="auto"/>
                <w:sz w:val="28"/>
                <w:szCs w:val="28"/>
              </w:rPr>
              <w:t xml:space="preserve"> 印发  </w:t>
            </w:r>
          </w:p>
        </w:tc>
      </w:tr>
    </w:tbl>
    <w:p w14:paraId="202B7DD2">
      <w:pPr>
        <w:spacing w:after="312" w:afterLines="100"/>
        <w:jc w:val="left"/>
        <w:rPr>
          <w:rFonts w:hint="eastAsia" w:ascii="宋体" w:hAnsi="宋体" w:eastAsia="宋体" w:cs="Times New Roman"/>
          <w:color w:val="auto"/>
          <w:sz w:val="28"/>
          <w:szCs w:val="28"/>
        </w:rPr>
      </w:pPr>
      <w:r>
        <w:rPr>
          <w:rFonts w:hint="eastAsia" w:ascii="宋体" w:hAnsi="宋体" w:eastAsia="宋体" w:cs="Times New Roman"/>
          <w:color w:val="auto"/>
          <w:sz w:val="28"/>
          <w:szCs w:val="28"/>
        </w:rPr>
        <w:t>附件1</w:t>
      </w:r>
    </w:p>
    <w:p w14:paraId="4277D602">
      <w:pPr>
        <w:spacing w:after="156" w:afterLines="50"/>
        <w:jc w:val="center"/>
        <w:rPr>
          <w:rFonts w:hint="eastAsia" w:ascii="方正小标宋_GBK" w:hAnsi="黑体" w:eastAsia="方正小标宋_GBK" w:cs="Times New Roman"/>
          <w:color w:val="auto"/>
          <w:sz w:val="44"/>
          <w:szCs w:val="44"/>
        </w:rPr>
      </w:pPr>
      <w:r>
        <w:rPr>
          <w:rFonts w:hint="eastAsia" w:ascii="方正小标宋_GBK" w:hAnsi="黑体" w:eastAsia="方正小标宋_GBK" w:cs="Times New Roman"/>
          <w:color w:val="auto"/>
          <w:sz w:val="44"/>
          <w:szCs w:val="44"/>
        </w:rPr>
        <w:t>招标核准意见表</w:t>
      </w:r>
    </w:p>
    <w:p w14:paraId="6B105BA4">
      <w:pPr>
        <w:spacing w:line="360" w:lineRule="exac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项目名称：</w:t>
      </w:r>
      <w:r>
        <w:rPr>
          <w:rFonts w:hint="eastAsia" w:ascii="Times New Roman" w:hAnsi="Times New Roman" w:eastAsia="宋体" w:cs="Times New Roman"/>
          <w:color w:val="auto"/>
          <w:sz w:val="24"/>
          <w:lang w:eastAsia="zh-CN"/>
        </w:rPr>
        <w:t>陆川古岭风电场项目</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DC7EAE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noWrap w:val="0"/>
            <w:vAlign w:val="center"/>
          </w:tcPr>
          <w:p w14:paraId="2474B334">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名称</w:t>
            </w:r>
          </w:p>
        </w:tc>
        <w:tc>
          <w:tcPr>
            <w:tcW w:w="2001" w:type="dxa"/>
            <w:gridSpan w:val="2"/>
            <w:noWrap w:val="0"/>
            <w:vAlign w:val="center"/>
          </w:tcPr>
          <w:p w14:paraId="2583DE8B">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招标范围</w:t>
            </w:r>
          </w:p>
        </w:tc>
        <w:tc>
          <w:tcPr>
            <w:tcW w:w="1788" w:type="dxa"/>
            <w:gridSpan w:val="2"/>
            <w:noWrap w:val="0"/>
            <w:vAlign w:val="center"/>
          </w:tcPr>
          <w:p w14:paraId="5BBFA616">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招标组织形式</w:t>
            </w:r>
          </w:p>
        </w:tc>
        <w:tc>
          <w:tcPr>
            <w:tcW w:w="2181" w:type="dxa"/>
            <w:gridSpan w:val="2"/>
            <w:noWrap w:val="0"/>
            <w:vAlign w:val="center"/>
          </w:tcPr>
          <w:p w14:paraId="0AF4B635">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招标方式</w:t>
            </w:r>
          </w:p>
        </w:tc>
        <w:tc>
          <w:tcPr>
            <w:tcW w:w="1559" w:type="dxa"/>
            <w:vMerge w:val="restart"/>
            <w:noWrap w:val="0"/>
            <w:vAlign w:val="center"/>
          </w:tcPr>
          <w:p w14:paraId="71B94259">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不采用招标方式</w:t>
            </w:r>
          </w:p>
        </w:tc>
      </w:tr>
      <w:tr w14:paraId="50AED45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noWrap w:val="0"/>
            <w:vAlign w:val="top"/>
          </w:tcPr>
          <w:p w14:paraId="670663CC">
            <w:pPr>
              <w:jc w:val="center"/>
              <w:rPr>
                <w:rFonts w:hint="eastAsia" w:ascii="Times New Roman" w:hAnsi="Times New Roman" w:eastAsia="宋体" w:cs="Times New Roman"/>
                <w:b/>
                <w:color w:val="auto"/>
                <w:sz w:val="24"/>
              </w:rPr>
            </w:pPr>
          </w:p>
        </w:tc>
        <w:tc>
          <w:tcPr>
            <w:tcW w:w="1008" w:type="dxa"/>
            <w:noWrap w:val="0"/>
            <w:vAlign w:val="center"/>
          </w:tcPr>
          <w:p w14:paraId="369A8A63">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全部</w:t>
            </w:r>
          </w:p>
          <w:p w14:paraId="50657FFB">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w:t>
            </w:r>
          </w:p>
        </w:tc>
        <w:tc>
          <w:tcPr>
            <w:tcW w:w="993" w:type="dxa"/>
            <w:noWrap w:val="0"/>
            <w:vAlign w:val="center"/>
          </w:tcPr>
          <w:p w14:paraId="00EC20DD">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部分</w:t>
            </w:r>
          </w:p>
          <w:p w14:paraId="021291A2">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w:t>
            </w:r>
          </w:p>
        </w:tc>
        <w:tc>
          <w:tcPr>
            <w:tcW w:w="850" w:type="dxa"/>
            <w:noWrap w:val="0"/>
            <w:vAlign w:val="center"/>
          </w:tcPr>
          <w:p w14:paraId="58105308">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自行</w:t>
            </w:r>
          </w:p>
          <w:p w14:paraId="6EB6C819">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w:t>
            </w:r>
          </w:p>
        </w:tc>
        <w:tc>
          <w:tcPr>
            <w:tcW w:w="938" w:type="dxa"/>
            <w:noWrap w:val="0"/>
            <w:vAlign w:val="center"/>
          </w:tcPr>
          <w:p w14:paraId="2FE1C245">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委托</w:t>
            </w:r>
          </w:p>
          <w:p w14:paraId="0AE48726">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w:t>
            </w:r>
          </w:p>
        </w:tc>
        <w:tc>
          <w:tcPr>
            <w:tcW w:w="1047" w:type="dxa"/>
            <w:noWrap w:val="0"/>
            <w:vAlign w:val="center"/>
          </w:tcPr>
          <w:p w14:paraId="3C755399">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公开</w:t>
            </w:r>
          </w:p>
          <w:p w14:paraId="7D95826E">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w:t>
            </w:r>
          </w:p>
        </w:tc>
        <w:tc>
          <w:tcPr>
            <w:tcW w:w="1134" w:type="dxa"/>
            <w:noWrap w:val="0"/>
            <w:vAlign w:val="center"/>
          </w:tcPr>
          <w:p w14:paraId="121CAA25">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邀请</w:t>
            </w:r>
          </w:p>
          <w:p w14:paraId="5984454F">
            <w:pPr>
              <w:jc w:val="center"/>
              <w:rPr>
                <w:rFonts w:hint="eastAsia" w:ascii="Times New Roman" w:hAnsi="Times New Roman" w:eastAsia="宋体" w:cs="Times New Roman"/>
                <w:b/>
                <w:color w:val="auto"/>
                <w:sz w:val="24"/>
              </w:rPr>
            </w:pPr>
            <w:r>
              <w:rPr>
                <w:rFonts w:hint="eastAsia" w:ascii="Times New Roman" w:hAnsi="Times New Roman" w:eastAsia="宋体" w:cs="Times New Roman"/>
                <w:b/>
                <w:color w:val="auto"/>
                <w:sz w:val="24"/>
              </w:rPr>
              <w:t>招标</w:t>
            </w:r>
          </w:p>
        </w:tc>
        <w:tc>
          <w:tcPr>
            <w:tcW w:w="1559" w:type="dxa"/>
            <w:vMerge w:val="continue"/>
            <w:noWrap w:val="0"/>
            <w:vAlign w:val="center"/>
          </w:tcPr>
          <w:p w14:paraId="166380CD">
            <w:pPr>
              <w:jc w:val="center"/>
              <w:rPr>
                <w:rFonts w:hint="eastAsia" w:ascii="Times New Roman" w:hAnsi="Times New Roman" w:eastAsia="宋体" w:cs="Times New Roman"/>
                <w:b/>
                <w:color w:val="auto"/>
                <w:sz w:val="24"/>
              </w:rPr>
            </w:pPr>
          </w:p>
        </w:tc>
      </w:tr>
      <w:tr w14:paraId="4DF34C7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14:paraId="64AE1566">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勘察</w:t>
            </w:r>
          </w:p>
        </w:tc>
        <w:tc>
          <w:tcPr>
            <w:tcW w:w="1008" w:type="dxa"/>
            <w:noWrap w:val="0"/>
            <w:vAlign w:val="center"/>
          </w:tcPr>
          <w:p w14:paraId="6289775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1BD8EF42">
            <w:pPr>
              <w:jc w:val="center"/>
              <w:rPr>
                <w:rFonts w:hint="eastAsia" w:ascii="Times New Roman" w:hAnsi="Times New Roman" w:eastAsia="宋体" w:cs="Times New Roman"/>
                <w:color w:val="auto"/>
                <w:sz w:val="24"/>
              </w:rPr>
            </w:pPr>
          </w:p>
        </w:tc>
        <w:tc>
          <w:tcPr>
            <w:tcW w:w="850" w:type="dxa"/>
            <w:noWrap w:val="0"/>
            <w:vAlign w:val="center"/>
          </w:tcPr>
          <w:p w14:paraId="6E3A282E">
            <w:pPr>
              <w:jc w:val="center"/>
              <w:rPr>
                <w:rFonts w:hint="eastAsia" w:ascii="Times New Roman" w:hAnsi="Times New Roman" w:eastAsia="宋体" w:cs="Times New Roman"/>
                <w:color w:val="auto"/>
                <w:sz w:val="24"/>
              </w:rPr>
            </w:pPr>
          </w:p>
        </w:tc>
        <w:tc>
          <w:tcPr>
            <w:tcW w:w="938" w:type="dxa"/>
            <w:noWrap w:val="0"/>
            <w:vAlign w:val="center"/>
          </w:tcPr>
          <w:p w14:paraId="139153D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1625BA3B">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52D7AD32">
            <w:pPr>
              <w:jc w:val="center"/>
              <w:rPr>
                <w:rFonts w:hint="eastAsia" w:ascii="Times New Roman" w:hAnsi="Times New Roman" w:eastAsia="宋体" w:cs="Times New Roman"/>
                <w:color w:val="auto"/>
                <w:sz w:val="24"/>
              </w:rPr>
            </w:pPr>
          </w:p>
        </w:tc>
        <w:tc>
          <w:tcPr>
            <w:tcW w:w="1559" w:type="dxa"/>
            <w:noWrap w:val="0"/>
            <w:vAlign w:val="center"/>
          </w:tcPr>
          <w:p w14:paraId="11C73F2E">
            <w:pPr>
              <w:jc w:val="center"/>
              <w:rPr>
                <w:rFonts w:hint="eastAsia" w:ascii="Times New Roman" w:hAnsi="Times New Roman" w:eastAsia="宋体" w:cs="Times New Roman"/>
                <w:color w:val="auto"/>
                <w:sz w:val="24"/>
              </w:rPr>
            </w:pPr>
          </w:p>
        </w:tc>
      </w:tr>
      <w:tr w14:paraId="2842AB5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21E3A3EB">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设计</w:t>
            </w:r>
          </w:p>
        </w:tc>
        <w:tc>
          <w:tcPr>
            <w:tcW w:w="1008" w:type="dxa"/>
            <w:noWrap w:val="0"/>
            <w:vAlign w:val="center"/>
          </w:tcPr>
          <w:p w14:paraId="2D068121">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3936A7BE">
            <w:pPr>
              <w:jc w:val="center"/>
              <w:rPr>
                <w:rFonts w:hint="eastAsia" w:ascii="Times New Roman" w:hAnsi="Times New Roman" w:eastAsia="宋体" w:cs="Times New Roman"/>
                <w:color w:val="auto"/>
                <w:sz w:val="24"/>
              </w:rPr>
            </w:pPr>
          </w:p>
        </w:tc>
        <w:tc>
          <w:tcPr>
            <w:tcW w:w="850" w:type="dxa"/>
            <w:noWrap w:val="0"/>
            <w:vAlign w:val="center"/>
          </w:tcPr>
          <w:p w14:paraId="0F65D3C5">
            <w:pPr>
              <w:jc w:val="center"/>
              <w:rPr>
                <w:rFonts w:hint="eastAsia" w:ascii="Times New Roman" w:hAnsi="Times New Roman" w:eastAsia="宋体" w:cs="Times New Roman"/>
                <w:color w:val="auto"/>
                <w:sz w:val="24"/>
              </w:rPr>
            </w:pPr>
          </w:p>
        </w:tc>
        <w:tc>
          <w:tcPr>
            <w:tcW w:w="938" w:type="dxa"/>
            <w:noWrap w:val="0"/>
            <w:vAlign w:val="center"/>
          </w:tcPr>
          <w:p w14:paraId="5B9E42F3">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0FF321F3">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3B95A863">
            <w:pPr>
              <w:jc w:val="center"/>
              <w:rPr>
                <w:rFonts w:hint="eastAsia" w:ascii="Times New Roman" w:hAnsi="Times New Roman" w:eastAsia="宋体" w:cs="Times New Roman"/>
                <w:color w:val="auto"/>
                <w:sz w:val="24"/>
              </w:rPr>
            </w:pPr>
          </w:p>
        </w:tc>
        <w:tc>
          <w:tcPr>
            <w:tcW w:w="1559" w:type="dxa"/>
            <w:noWrap w:val="0"/>
            <w:vAlign w:val="center"/>
          </w:tcPr>
          <w:p w14:paraId="019D6DBF">
            <w:pPr>
              <w:jc w:val="center"/>
              <w:rPr>
                <w:rFonts w:hint="eastAsia" w:ascii="Times New Roman" w:hAnsi="Times New Roman" w:eastAsia="宋体" w:cs="Times New Roman"/>
                <w:color w:val="auto"/>
                <w:sz w:val="24"/>
              </w:rPr>
            </w:pPr>
          </w:p>
        </w:tc>
      </w:tr>
      <w:tr w14:paraId="147FC84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467EADC7">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建筑工程</w:t>
            </w:r>
          </w:p>
        </w:tc>
        <w:tc>
          <w:tcPr>
            <w:tcW w:w="1008" w:type="dxa"/>
            <w:noWrap w:val="0"/>
            <w:vAlign w:val="center"/>
          </w:tcPr>
          <w:p w14:paraId="7FC12DDB">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66D055E4">
            <w:pPr>
              <w:jc w:val="center"/>
              <w:rPr>
                <w:rFonts w:hint="eastAsia" w:ascii="Times New Roman" w:hAnsi="Times New Roman" w:eastAsia="宋体" w:cs="Times New Roman"/>
                <w:color w:val="auto"/>
                <w:sz w:val="24"/>
              </w:rPr>
            </w:pPr>
          </w:p>
        </w:tc>
        <w:tc>
          <w:tcPr>
            <w:tcW w:w="850" w:type="dxa"/>
            <w:noWrap w:val="0"/>
            <w:vAlign w:val="center"/>
          </w:tcPr>
          <w:p w14:paraId="20B7CE1F">
            <w:pPr>
              <w:jc w:val="center"/>
              <w:rPr>
                <w:rFonts w:hint="eastAsia" w:ascii="Times New Roman" w:hAnsi="Times New Roman" w:eastAsia="宋体" w:cs="Times New Roman"/>
                <w:color w:val="auto"/>
                <w:sz w:val="24"/>
              </w:rPr>
            </w:pPr>
          </w:p>
        </w:tc>
        <w:tc>
          <w:tcPr>
            <w:tcW w:w="938" w:type="dxa"/>
            <w:noWrap w:val="0"/>
            <w:vAlign w:val="center"/>
          </w:tcPr>
          <w:p w14:paraId="0CDB3DDD">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149022CB">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1E076754">
            <w:pPr>
              <w:jc w:val="center"/>
              <w:rPr>
                <w:rFonts w:hint="eastAsia" w:ascii="Times New Roman" w:hAnsi="Times New Roman" w:eastAsia="宋体" w:cs="Times New Roman"/>
                <w:color w:val="auto"/>
                <w:sz w:val="24"/>
              </w:rPr>
            </w:pPr>
          </w:p>
        </w:tc>
        <w:tc>
          <w:tcPr>
            <w:tcW w:w="1559" w:type="dxa"/>
            <w:noWrap w:val="0"/>
            <w:vAlign w:val="center"/>
          </w:tcPr>
          <w:p w14:paraId="3DE7AD47">
            <w:pPr>
              <w:jc w:val="center"/>
              <w:rPr>
                <w:rFonts w:hint="eastAsia" w:ascii="Times New Roman" w:hAnsi="Times New Roman" w:eastAsia="宋体" w:cs="Times New Roman"/>
                <w:color w:val="auto"/>
                <w:sz w:val="24"/>
              </w:rPr>
            </w:pPr>
          </w:p>
        </w:tc>
      </w:tr>
      <w:tr w14:paraId="6279F505">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0B99DE58">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安装工程</w:t>
            </w:r>
          </w:p>
        </w:tc>
        <w:tc>
          <w:tcPr>
            <w:tcW w:w="1008" w:type="dxa"/>
            <w:noWrap w:val="0"/>
            <w:vAlign w:val="center"/>
          </w:tcPr>
          <w:p w14:paraId="11A4B2E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07C4AA12">
            <w:pPr>
              <w:jc w:val="center"/>
              <w:rPr>
                <w:rFonts w:hint="eastAsia" w:ascii="Times New Roman" w:hAnsi="Times New Roman" w:eastAsia="宋体" w:cs="Times New Roman"/>
                <w:color w:val="auto"/>
                <w:sz w:val="24"/>
              </w:rPr>
            </w:pPr>
          </w:p>
        </w:tc>
        <w:tc>
          <w:tcPr>
            <w:tcW w:w="850" w:type="dxa"/>
            <w:noWrap w:val="0"/>
            <w:vAlign w:val="center"/>
          </w:tcPr>
          <w:p w14:paraId="01E79137">
            <w:pPr>
              <w:jc w:val="center"/>
              <w:rPr>
                <w:rFonts w:hint="eastAsia" w:ascii="Times New Roman" w:hAnsi="Times New Roman" w:eastAsia="宋体" w:cs="Times New Roman"/>
                <w:color w:val="auto"/>
                <w:sz w:val="24"/>
              </w:rPr>
            </w:pPr>
          </w:p>
        </w:tc>
        <w:tc>
          <w:tcPr>
            <w:tcW w:w="938" w:type="dxa"/>
            <w:noWrap w:val="0"/>
            <w:vAlign w:val="center"/>
          </w:tcPr>
          <w:p w14:paraId="423C2A12">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516066E4">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5B7979D1">
            <w:pPr>
              <w:jc w:val="center"/>
              <w:rPr>
                <w:rFonts w:hint="eastAsia" w:ascii="Times New Roman" w:hAnsi="Times New Roman" w:eastAsia="宋体" w:cs="Times New Roman"/>
                <w:color w:val="auto"/>
                <w:sz w:val="24"/>
              </w:rPr>
            </w:pPr>
          </w:p>
        </w:tc>
        <w:tc>
          <w:tcPr>
            <w:tcW w:w="1559" w:type="dxa"/>
            <w:noWrap w:val="0"/>
            <w:vAlign w:val="center"/>
          </w:tcPr>
          <w:p w14:paraId="3C9F6641">
            <w:pPr>
              <w:jc w:val="center"/>
              <w:rPr>
                <w:rFonts w:hint="eastAsia" w:ascii="Times New Roman" w:hAnsi="Times New Roman" w:eastAsia="宋体" w:cs="Times New Roman"/>
                <w:color w:val="auto"/>
                <w:sz w:val="24"/>
              </w:rPr>
            </w:pPr>
          </w:p>
        </w:tc>
      </w:tr>
      <w:tr w14:paraId="52A0B51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444D0BC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主要设备</w:t>
            </w:r>
          </w:p>
        </w:tc>
        <w:tc>
          <w:tcPr>
            <w:tcW w:w="1008" w:type="dxa"/>
            <w:noWrap w:val="0"/>
            <w:vAlign w:val="center"/>
          </w:tcPr>
          <w:p w14:paraId="59E278E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35E2DA02">
            <w:pPr>
              <w:jc w:val="center"/>
              <w:rPr>
                <w:rFonts w:hint="eastAsia" w:ascii="Times New Roman" w:hAnsi="Times New Roman" w:eastAsia="宋体" w:cs="Times New Roman"/>
                <w:color w:val="auto"/>
                <w:sz w:val="24"/>
              </w:rPr>
            </w:pPr>
          </w:p>
        </w:tc>
        <w:tc>
          <w:tcPr>
            <w:tcW w:w="850" w:type="dxa"/>
            <w:noWrap w:val="0"/>
            <w:vAlign w:val="center"/>
          </w:tcPr>
          <w:p w14:paraId="2FCE0115">
            <w:pPr>
              <w:jc w:val="center"/>
              <w:rPr>
                <w:rFonts w:hint="eastAsia" w:ascii="Times New Roman" w:hAnsi="Times New Roman" w:eastAsia="宋体" w:cs="Times New Roman"/>
                <w:color w:val="auto"/>
                <w:sz w:val="24"/>
              </w:rPr>
            </w:pPr>
          </w:p>
        </w:tc>
        <w:tc>
          <w:tcPr>
            <w:tcW w:w="938" w:type="dxa"/>
            <w:noWrap w:val="0"/>
            <w:vAlign w:val="center"/>
          </w:tcPr>
          <w:p w14:paraId="37C7E061">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6DF88D5E">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79599197">
            <w:pPr>
              <w:jc w:val="center"/>
              <w:rPr>
                <w:rFonts w:hint="eastAsia" w:ascii="Times New Roman" w:hAnsi="Times New Roman" w:eastAsia="宋体" w:cs="Times New Roman"/>
                <w:color w:val="auto"/>
                <w:sz w:val="24"/>
              </w:rPr>
            </w:pPr>
          </w:p>
        </w:tc>
        <w:tc>
          <w:tcPr>
            <w:tcW w:w="1559" w:type="dxa"/>
            <w:noWrap w:val="0"/>
            <w:vAlign w:val="center"/>
          </w:tcPr>
          <w:p w14:paraId="71B8ADC5">
            <w:pPr>
              <w:jc w:val="center"/>
              <w:rPr>
                <w:rFonts w:hint="eastAsia" w:ascii="Times New Roman" w:hAnsi="Times New Roman" w:eastAsia="宋体" w:cs="Times New Roman"/>
                <w:color w:val="auto"/>
                <w:sz w:val="24"/>
              </w:rPr>
            </w:pPr>
          </w:p>
        </w:tc>
      </w:tr>
      <w:tr w14:paraId="3AD0A04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2CF7209">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材料</w:t>
            </w:r>
          </w:p>
        </w:tc>
        <w:tc>
          <w:tcPr>
            <w:tcW w:w="1008" w:type="dxa"/>
            <w:noWrap w:val="0"/>
            <w:vAlign w:val="center"/>
          </w:tcPr>
          <w:p w14:paraId="3B67755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4494447A">
            <w:pPr>
              <w:jc w:val="center"/>
              <w:rPr>
                <w:rFonts w:hint="eastAsia" w:ascii="Times New Roman" w:hAnsi="Times New Roman" w:eastAsia="宋体" w:cs="Times New Roman"/>
                <w:color w:val="auto"/>
                <w:sz w:val="24"/>
              </w:rPr>
            </w:pPr>
          </w:p>
        </w:tc>
        <w:tc>
          <w:tcPr>
            <w:tcW w:w="850" w:type="dxa"/>
            <w:noWrap w:val="0"/>
            <w:vAlign w:val="center"/>
          </w:tcPr>
          <w:p w14:paraId="7E51F389">
            <w:pPr>
              <w:jc w:val="center"/>
              <w:rPr>
                <w:rFonts w:hint="eastAsia" w:ascii="Times New Roman" w:hAnsi="Times New Roman" w:eastAsia="宋体" w:cs="Times New Roman"/>
                <w:color w:val="auto"/>
                <w:sz w:val="24"/>
              </w:rPr>
            </w:pPr>
          </w:p>
        </w:tc>
        <w:tc>
          <w:tcPr>
            <w:tcW w:w="938" w:type="dxa"/>
            <w:noWrap w:val="0"/>
            <w:vAlign w:val="center"/>
          </w:tcPr>
          <w:p w14:paraId="0546C43C">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3057083F">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33EC74CB">
            <w:pPr>
              <w:jc w:val="center"/>
              <w:rPr>
                <w:rFonts w:hint="eastAsia" w:ascii="Times New Roman" w:hAnsi="Times New Roman" w:eastAsia="宋体" w:cs="Times New Roman"/>
                <w:color w:val="auto"/>
                <w:sz w:val="24"/>
              </w:rPr>
            </w:pPr>
          </w:p>
        </w:tc>
        <w:tc>
          <w:tcPr>
            <w:tcW w:w="1559" w:type="dxa"/>
            <w:noWrap w:val="0"/>
            <w:vAlign w:val="center"/>
          </w:tcPr>
          <w:p w14:paraId="5107426C">
            <w:pPr>
              <w:jc w:val="center"/>
              <w:rPr>
                <w:rFonts w:hint="eastAsia" w:ascii="Times New Roman" w:hAnsi="Times New Roman" w:eastAsia="宋体" w:cs="Times New Roman"/>
                <w:color w:val="auto"/>
                <w:sz w:val="24"/>
              </w:rPr>
            </w:pPr>
          </w:p>
        </w:tc>
      </w:tr>
      <w:tr w14:paraId="7FA30AB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1C6647D2">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监理</w:t>
            </w:r>
          </w:p>
        </w:tc>
        <w:tc>
          <w:tcPr>
            <w:tcW w:w="1008" w:type="dxa"/>
            <w:noWrap w:val="0"/>
            <w:vAlign w:val="center"/>
          </w:tcPr>
          <w:p w14:paraId="513497EC">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993" w:type="dxa"/>
            <w:noWrap w:val="0"/>
            <w:vAlign w:val="center"/>
          </w:tcPr>
          <w:p w14:paraId="448D1FC5">
            <w:pPr>
              <w:jc w:val="center"/>
              <w:rPr>
                <w:rFonts w:hint="eastAsia" w:ascii="Times New Roman" w:hAnsi="Times New Roman" w:eastAsia="宋体" w:cs="Times New Roman"/>
                <w:color w:val="auto"/>
                <w:sz w:val="24"/>
              </w:rPr>
            </w:pPr>
          </w:p>
        </w:tc>
        <w:tc>
          <w:tcPr>
            <w:tcW w:w="850" w:type="dxa"/>
            <w:noWrap w:val="0"/>
            <w:vAlign w:val="center"/>
          </w:tcPr>
          <w:p w14:paraId="16A4AEAB">
            <w:pPr>
              <w:jc w:val="center"/>
              <w:rPr>
                <w:rFonts w:hint="eastAsia" w:ascii="Times New Roman" w:hAnsi="Times New Roman" w:eastAsia="宋体" w:cs="Times New Roman"/>
                <w:color w:val="auto"/>
                <w:sz w:val="24"/>
              </w:rPr>
            </w:pPr>
          </w:p>
        </w:tc>
        <w:tc>
          <w:tcPr>
            <w:tcW w:w="938" w:type="dxa"/>
            <w:noWrap w:val="0"/>
            <w:vAlign w:val="center"/>
          </w:tcPr>
          <w:p w14:paraId="2E0FEE81">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047" w:type="dxa"/>
            <w:noWrap w:val="0"/>
            <w:vAlign w:val="center"/>
          </w:tcPr>
          <w:p w14:paraId="3EE92481">
            <w:pPr>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核准</w:t>
            </w:r>
          </w:p>
        </w:tc>
        <w:tc>
          <w:tcPr>
            <w:tcW w:w="1134" w:type="dxa"/>
            <w:noWrap w:val="0"/>
            <w:vAlign w:val="center"/>
          </w:tcPr>
          <w:p w14:paraId="0F0C7B42">
            <w:pPr>
              <w:jc w:val="center"/>
              <w:rPr>
                <w:rFonts w:hint="eastAsia" w:ascii="Times New Roman" w:hAnsi="Times New Roman" w:eastAsia="宋体" w:cs="Times New Roman"/>
                <w:color w:val="auto"/>
                <w:sz w:val="24"/>
              </w:rPr>
            </w:pPr>
          </w:p>
        </w:tc>
        <w:tc>
          <w:tcPr>
            <w:tcW w:w="1559" w:type="dxa"/>
            <w:noWrap w:val="0"/>
            <w:vAlign w:val="center"/>
          </w:tcPr>
          <w:p w14:paraId="2F121B80">
            <w:pPr>
              <w:jc w:val="center"/>
              <w:rPr>
                <w:rFonts w:hint="eastAsia" w:ascii="Times New Roman" w:hAnsi="Times New Roman" w:eastAsia="宋体" w:cs="Times New Roman"/>
                <w:color w:val="auto"/>
                <w:sz w:val="24"/>
              </w:rPr>
            </w:pPr>
          </w:p>
        </w:tc>
      </w:tr>
      <w:tr w14:paraId="643A533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noWrap w:val="0"/>
            <w:vAlign w:val="top"/>
          </w:tcPr>
          <w:p w14:paraId="5899D6DA">
            <w:pPr>
              <w:rPr>
                <w:rFonts w:ascii="宋体" w:hAnsi="宋体" w:eastAsia="宋体" w:cs="Times New Roman"/>
                <w:color w:val="auto"/>
                <w:sz w:val="24"/>
              </w:rPr>
            </w:pPr>
            <w:r>
              <w:rPr>
                <w:rFonts w:hint="eastAsia" w:ascii="宋体" w:hAnsi="宋体" w:eastAsia="宋体" w:cs="Times New Roman"/>
                <w:color w:val="auto"/>
                <w:sz w:val="24"/>
              </w:rPr>
              <w:t xml:space="preserve">审批部门核准意见说明：  </w:t>
            </w:r>
          </w:p>
          <w:p w14:paraId="56CBE0D0">
            <w:pPr>
              <w:ind w:firstLine="480" w:firstLineChars="200"/>
              <w:rPr>
                <w:rFonts w:hint="eastAsia" w:ascii="Times New Roman" w:hAnsi="Times New Roman" w:eastAsia="宋体" w:cs="Times New Roman"/>
                <w:color w:val="auto"/>
              </w:rPr>
            </w:pPr>
            <w:r>
              <w:rPr>
                <w:rFonts w:hint="eastAsia" w:ascii="宋体" w:hAnsi="宋体" w:eastAsia="宋体" w:cs="Times New Roman"/>
                <w:color w:val="auto"/>
                <w:sz w:val="24"/>
              </w:rPr>
              <w:t>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auto"/>
              </w:rPr>
              <w:t>。</w:t>
            </w:r>
          </w:p>
          <w:p w14:paraId="6994F274">
            <w:pPr>
              <w:rPr>
                <w:rFonts w:hint="eastAsia" w:ascii="Times New Roman" w:hAnsi="Times New Roman" w:eastAsia="宋体" w:cs="Times New Roman"/>
                <w:color w:val="auto"/>
                <w:sz w:val="24"/>
              </w:rPr>
            </w:pPr>
          </w:p>
          <w:p w14:paraId="47EE158B">
            <w:pPr>
              <w:rPr>
                <w:rFonts w:hint="eastAsia" w:ascii="Times New Roman" w:hAnsi="Times New Roman" w:eastAsia="宋体" w:cs="Times New Roman"/>
                <w:color w:val="auto"/>
                <w:sz w:val="24"/>
              </w:rPr>
            </w:pPr>
          </w:p>
          <w:p w14:paraId="7318199E">
            <w:pPr>
              <w:ind w:left="5880" w:leftChars="28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 xml:space="preserve">                                                     </w:t>
            </w:r>
          </w:p>
          <w:p w14:paraId="7142C902">
            <w:pPr>
              <w:ind w:firstLine="5520" w:firstLineChars="2300"/>
              <w:rPr>
                <w:rFonts w:hint="eastAsia" w:ascii="宋体" w:hAnsi="宋体" w:eastAsia="宋体" w:cs="宋体"/>
                <w:color w:val="auto"/>
                <w:sz w:val="24"/>
              </w:rPr>
            </w:pPr>
            <w:r>
              <w:rPr>
                <w:rFonts w:hint="eastAsia" w:ascii="宋体" w:hAnsi="宋体" w:eastAsia="宋体" w:cs="宋体"/>
                <w:color w:val="auto"/>
                <w:sz w:val="24"/>
              </w:rPr>
              <w:t>2025年</w:t>
            </w:r>
            <w:r>
              <w:rPr>
                <w:rFonts w:hint="eastAsia" w:ascii="宋体" w:hAnsi="宋体" w:eastAsia="宋体" w:cs="宋体"/>
                <w:color w:val="auto"/>
                <w:sz w:val="24"/>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w:t>
            </w:r>
          </w:p>
          <w:p w14:paraId="4E922057">
            <w:pPr>
              <w:rPr>
                <w:rFonts w:hint="eastAsia" w:ascii="Times New Roman" w:hAnsi="Times New Roman" w:eastAsia="宋体" w:cs="Times New Roman"/>
                <w:color w:val="auto"/>
                <w:sz w:val="24"/>
              </w:rPr>
            </w:pPr>
          </w:p>
          <w:p w14:paraId="32F8D2DC">
            <w:pPr>
              <w:jc w:val="center"/>
              <w:rPr>
                <w:rFonts w:hint="eastAsia" w:ascii="Times New Roman" w:hAnsi="Times New Roman" w:eastAsia="宋体" w:cs="Times New Roman"/>
                <w:color w:val="auto"/>
                <w:sz w:val="24"/>
              </w:rPr>
            </w:pPr>
          </w:p>
          <w:p w14:paraId="4CA65008">
            <w:pPr>
              <w:jc w:val="center"/>
              <w:rPr>
                <w:rFonts w:hint="eastAsia" w:ascii="Times New Roman" w:hAnsi="Times New Roman" w:eastAsia="宋体" w:cs="Times New Roman"/>
                <w:color w:val="auto"/>
                <w:sz w:val="24"/>
              </w:rPr>
            </w:pPr>
          </w:p>
          <w:p w14:paraId="0599A9A3">
            <w:pPr>
              <w:jc w:val="center"/>
              <w:rPr>
                <w:rFonts w:hint="eastAsia" w:ascii="Times New Roman" w:hAnsi="Times New Roman" w:eastAsia="宋体" w:cs="Times New Roman"/>
                <w:color w:val="auto"/>
                <w:sz w:val="24"/>
              </w:rPr>
            </w:pPr>
          </w:p>
          <w:p w14:paraId="0C2265C5">
            <w:pPr>
              <w:rPr>
                <w:rFonts w:hint="eastAsia" w:ascii="Times New Roman" w:hAnsi="Times New Roman" w:eastAsia="宋体" w:cs="Times New Roman"/>
                <w:color w:val="auto"/>
                <w:sz w:val="24"/>
              </w:rPr>
            </w:pPr>
          </w:p>
        </w:tc>
      </w:tr>
    </w:tbl>
    <w:p w14:paraId="2C592BB4">
      <w:pPr>
        <w:rPr>
          <w:rFonts w:hint="eastAsia" w:ascii="宋体" w:hAnsi="宋体" w:eastAsia="宋体"/>
          <w:sz w:val="24"/>
          <w:lang w:eastAsia="zh-CN"/>
        </w:rPr>
      </w:pPr>
    </w:p>
    <w:p w14:paraId="3BFC349A">
      <w:pPr>
        <w:rPr>
          <w:rFonts w:hint="eastAsia" w:ascii="宋体" w:hAnsi="宋体" w:eastAsia="宋体"/>
          <w:sz w:val="24"/>
          <w:lang w:eastAsia="zh-CN"/>
        </w:rPr>
      </w:pPr>
    </w:p>
    <w:p w14:paraId="46AC9BD1">
      <w:pPr>
        <w:rPr>
          <w:rFonts w:hint="eastAsia" w:ascii="宋体" w:hAnsi="宋体" w:eastAsia="宋体"/>
          <w:sz w:val="24"/>
          <w:lang w:eastAsia="zh-CN"/>
        </w:rPr>
      </w:pPr>
    </w:p>
    <w:p w14:paraId="62662B1C">
      <w:pPr>
        <w:rPr>
          <w:rFonts w:hint="eastAsia" w:ascii="宋体" w:hAnsi="宋体" w:eastAsia="宋体"/>
          <w:sz w:val="24"/>
          <w:lang w:eastAsia="zh-CN"/>
        </w:rPr>
      </w:pPr>
    </w:p>
    <w:p w14:paraId="5A13CA69">
      <w:pPr>
        <w:rPr>
          <w:rFonts w:hint="eastAsia" w:ascii="宋体" w:hAnsi="宋体" w:eastAsia="宋体"/>
          <w:sz w:val="24"/>
          <w:lang w:eastAsia="zh-CN"/>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43EAD58D">
      <w:pPr>
        <w:spacing w:line="600" w:lineRule="exact"/>
        <w:rPr>
          <w:rFonts w:hint="eastAsia" w:ascii="宋体" w:hAnsi="宋体" w:eastAsia="宋体" w:cs="仿宋_GB2312"/>
          <w:color w:val="auto"/>
          <w:sz w:val="28"/>
          <w:szCs w:val="28"/>
        </w:rPr>
      </w:pPr>
      <w:r>
        <w:rPr>
          <w:rFonts w:hint="eastAsia" w:ascii="宋体" w:hAnsi="宋体" w:eastAsia="宋体" w:cs="仿宋_GB2312"/>
          <w:color w:val="auto"/>
          <w:sz w:val="28"/>
          <w:szCs w:val="28"/>
        </w:rPr>
        <w:t>附件2</w:t>
      </w:r>
    </w:p>
    <w:p w14:paraId="5E381B58">
      <w:pPr>
        <w:spacing w:line="600" w:lineRule="exact"/>
        <w:rPr>
          <w:rFonts w:hint="eastAsia" w:ascii="黑体" w:hAnsi="黑体" w:eastAsia="黑体" w:cs="仿宋_GB2312"/>
          <w:color w:val="auto"/>
        </w:rPr>
      </w:pPr>
    </w:p>
    <w:p w14:paraId="3124C9BE">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电力项目安全管理和质量管控事项告知书</w:t>
      </w:r>
    </w:p>
    <w:p w14:paraId="0FFC29CA">
      <w:pPr>
        <w:spacing w:line="600" w:lineRule="exact"/>
        <w:rPr>
          <w:rFonts w:hint="eastAsia" w:ascii="仿宋_GB2312" w:hAnsi="仿宋_GB2312" w:eastAsia="仿宋_GB2312" w:cs="仿宋_GB2312"/>
          <w:snapToGrid w:val="0"/>
          <w:color w:val="auto"/>
          <w:kern w:val="0"/>
          <w:sz w:val="32"/>
          <w:szCs w:val="32"/>
        </w:rPr>
      </w:pPr>
    </w:p>
    <w:p w14:paraId="11CF2198">
      <w:pPr>
        <w:spacing w:line="600" w:lineRule="exact"/>
        <w:rPr>
          <w:rFonts w:hint="eastAsia" w:ascii="仿宋_GB2312" w:hAnsi="仿宋_GB2312" w:eastAsia="仿宋_GB2312" w:cs="仿宋_GB2312"/>
          <w:color w:val="auto"/>
          <w:sz w:val="32"/>
          <w:szCs w:val="32"/>
        </w:rPr>
      </w:pPr>
      <w:r>
        <w:rPr>
          <w:rFonts w:hint="eastAsia" w:ascii="仿宋_GB2312" w:hAnsi="Times New Roman" w:eastAsia="仿宋_GB2312" w:cs="Times New Roman"/>
          <w:color w:val="auto"/>
          <w:sz w:val="32"/>
          <w:szCs w:val="32"/>
          <w:lang w:eastAsia="zh-CN"/>
        </w:rPr>
        <w:t>广西陆川浙盛新能源有限公司：</w:t>
      </w:r>
    </w:p>
    <w:p w14:paraId="52BEE995">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为了进一步加强电力项目的安全管理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有效防范安全生产和质量事故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现就你单位</w:t>
      </w:r>
      <w:r>
        <w:rPr>
          <w:rFonts w:hint="eastAsia" w:ascii="仿宋_GB2312" w:hAnsi="仿宋_GB2312" w:eastAsia="仿宋_GB2312" w:cs="仿宋_GB2312"/>
          <w:color w:val="auto"/>
          <w:sz w:val="32"/>
          <w:szCs w:val="32"/>
          <w:lang w:eastAsia="zh-CN"/>
        </w:rPr>
        <w:t>陆川古岭风电场项目</w:t>
      </w:r>
      <w:r>
        <w:rPr>
          <w:rFonts w:hint="eastAsia" w:ascii="仿宋_GB2312" w:hAnsi="仿宋_GB2312" w:eastAsia="仿宋_GB2312" w:cs="仿宋_GB2312"/>
          <w:color w:val="auto"/>
          <w:sz w:val="32"/>
          <w:szCs w:val="32"/>
        </w:rPr>
        <w:t>施工安全和质量管控应重点注意的事项告知如下。</w:t>
      </w:r>
    </w:p>
    <w:p w14:paraId="33705FB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一、严格按照《安全生产法》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切实落实企业安全生产主体责任。</w:t>
      </w:r>
    </w:p>
    <w:p w14:paraId="065D01BA">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二、应当按要求设置项目安全生产管理机构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配备安全生产管理人员。</w:t>
      </w:r>
    </w:p>
    <w:p w14:paraId="7CB12751">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三、应当开展安全生产教育培训。</w:t>
      </w:r>
    </w:p>
    <w:p w14:paraId="2466422F">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四、应当严格落实安全生产投入。</w:t>
      </w:r>
    </w:p>
    <w:p w14:paraId="1017891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五、应当按要求建立工程分包管控制度和措施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禁止施工单位转包或违法分包工程。</w:t>
      </w:r>
    </w:p>
    <w:p w14:paraId="5D35FE5B">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六、应当组织开展安全风险管控和隐患排查治理工作。</w:t>
      </w:r>
    </w:p>
    <w:p w14:paraId="33A42005">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七、应当严格落实应急管理及事故处置措施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及时如实报告生产安全事故。</w:t>
      </w:r>
    </w:p>
    <w:p w14:paraId="3A5BCF0D">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八、严格按照《建设工程质量管理条例》（国务院令第279号）和《国家能源局关于进一步明确电力建设工程质量监督机构业务工作的通知》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国能函安全</w:t>
      </w:r>
      <w:r>
        <w:rPr>
          <w:rFonts w:hint="eastAsia" w:ascii="仿宋_GB2312" w:hAnsi="仿宋_GB2312" w:eastAsia="仿宋_GB2312" w:cs="仿宋_GB2312"/>
          <w:color w:val="auto"/>
          <w:kern w:val="0"/>
          <w:sz w:val="32"/>
          <w:szCs w:val="32"/>
        </w:rPr>
        <w:t>〔2020〕</w:t>
      </w:r>
      <w:r>
        <w:rPr>
          <w:rFonts w:hint="eastAsia" w:ascii="仿宋_GB2312" w:hAnsi="仿宋_GB2312" w:eastAsia="仿宋_GB2312" w:cs="仿宋_GB2312"/>
          <w:color w:val="auto"/>
          <w:sz w:val="32"/>
          <w:szCs w:val="32"/>
        </w:rPr>
        <w:t>39号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等有关文件的规定和要求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开工前必须办理工程质量监督注册手续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并做好工程质量管控各项工作。</w:t>
      </w:r>
    </w:p>
    <w:p w14:paraId="66584379">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若发生违反上述事项的行为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有关部门将依照相关法律、法规和政策规定进行处罚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并将处罚信息纳入被处罚单位的信用记录。</w:t>
      </w:r>
    </w:p>
    <w:p w14:paraId="27A23429">
      <w:pPr>
        <w:spacing w:line="600" w:lineRule="exact"/>
        <w:rPr>
          <w:rFonts w:hint="eastAsia" w:ascii="仿宋_GB2312" w:hAnsi="仿宋_GB2312" w:eastAsia="仿宋_GB2312" w:cs="仿宋_GB2312"/>
          <w:color w:val="auto"/>
          <w:sz w:val="32"/>
          <w:szCs w:val="32"/>
        </w:rPr>
      </w:pPr>
    </w:p>
    <w:p w14:paraId="44A9D873">
      <w:pPr>
        <w:spacing w:line="600" w:lineRule="exact"/>
        <w:rPr>
          <w:rFonts w:hint="eastAsia" w:ascii="仿宋_GB2312" w:hAnsi="仿宋_GB2312" w:eastAsia="仿宋_GB2312" w:cs="仿宋_GB2312"/>
          <w:color w:val="auto"/>
          <w:sz w:val="32"/>
          <w:szCs w:val="32"/>
        </w:rPr>
      </w:pPr>
    </w:p>
    <w:p w14:paraId="2853F627">
      <w:pPr>
        <w:rPr>
          <w:rFonts w:hint="eastAsia" w:ascii="仿宋_GB2312" w:hAnsi="Times New Roman" w:eastAsia="仿宋_GB2312" w:cs="Times New Roman"/>
          <w:color w:val="auto"/>
          <w:sz w:val="32"/>
          <w:szCs w:val="32"/>
        </w:rPr>
      </w:pPr>
    </w:p>
    <w:p w14:paraId="38D85EC8">
      <w:pPr>
        <w:spacing w:line="600" w:lineRule="exact"/>
        <w:ind w:firstLine="2835" w:firstLineChars="88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告知人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玉林市发展和改革委员会</w:t>
      </w:r>
    </w:p>
    <w:p w14:paraId="79696BB6">
      <w:pPr>
        <w:spacing w:line="600" w:lineRule="exact"/>
        <w:ind w:left="4478" w:leftChars="304" w:hanging="3840" w:hangingChars="1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被告知单位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Times New Roman" w:eastAsia="仿宋_GB2312" w:cs="Times New Roman"/>
          <w:color w:val="auto"/>
          <w:sz w:val="32"/>
          <w:szCs w:val="32"/>
          <w:lang w:eastAsia="zh-CN"/>
        </w:rPr>
        <w:t>广西陆川浙盛新能源有限公司</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napToGrid w:val="0"/>
          <w:color w:val="auto"/>
          <w:kern w:val="0"/>
          <w:sz w:val="32"/>
          <w:szCs w:val="32"/>
        </w:rPr>
        <w:t xml:space="preserve">                      </w:t>
      </w:r>
    </w:p>
    <w:p w14:paraId="74113128">
      <w:pPr>
        <w:spacing w:line="600" w:lineRule="exact"/>
        <w:ind w:firstLine="4579" w:firstLineChars="143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p>
    <w:p w14:paraId="7466F9B5">
      <w:pPr>
        <w:rPr>
          <w:rFonts w:hint="eastAsia" w:ascii="宋体" w:hAnsi="宋体" w:eastAsia="宋体"/>
          <w:sz w:val="24"/>
          <w:lang w:eastAsia="zh-CN"/>
        </w:rPr>
      </w:pPr>
    </w:p>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3E46820"/>
    <w:rsid w:val="06FD4180"/>
    <w:rsid w:val="08000695"/>
    <w:rsid w:val="09575B61"/>
    <w:rsid w:val="096E718E"/>
    <w:rsid w:val="0AC0648A"/>
    <w:rsid w:val="10266135"/>
    <w:rsid w:val="122D1EA5"/>
    <w:rsid w:val="13094DDF"/>
    <w:rsid w:val="15E433A4"/>
    <w:rsid w:val="16CB00C0"/>
    <w:rsid w:val="180F3C35"/>
    <w:rsid w:val="1B544B28"/>
    <w:rsid w:val="1BA95D0D"/>
    <w:rsid w:val="1EAE09F3"/>
    <w:rsid w:val="1FAD4BCF"/>
    <w:rsid w:val="2217065D"/>
    <w:rsid w:val="23CF4924"/>
    <w:rsid w:val="240B230C"/>
    <w:rsid w:val="2548374E"/>
    <w:rsid w:val="26393298"/>
    <w:rsid w:val="2680013C"/>
    <w:rsid w:val="297D349C"/>
    <w:rsid w:val="29BB2216"/>
    <w:rsid w:val="2B051FCE"/>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C126797"/>
    <w:rsid w:val="50F25C6E"/>
    <w:rsid w:val="53F405BE"/>
    <w:rsid w:val="55A60148"/>
    <w:rsid w:val="565C5527"/>
    <w:rsid w:val="5664316A"/>
    <w:rsid w:val="583A23D4"/>
    <w:rsid w:val="58FE1654"/>
    <w:rsid w:val="596B480F"/>
    <w:rsid w:val="59CA3EB2"/>
    <w:rsid w:val="60D00657"/>
    <w:rsid w:val="639D7CBB"/>
    <w:rsid w:val="63E961A8"/>
    <w:rsid w:val="684C450D"/>
    <w:rsid w:val="69197DE4"/>
    <w:rsid w:val="6B9D470F"/>
    <w:rsid w:val="701D1D1F"/>
    <w:rsid w:val="70C1323B"/>
    <w:rsid w:val="71C60738"/>
    <w:rsid w:val="73AE2A7E"/>
    <w:rsid w:val="741639DC"/>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9"/>
    <w:qFormat/>
    <w:uiPriority w:val="0"/>
    <w:pPr>
      <w:spacing w:after="120"/>
    </w:pPr>
  </w:style>
  <w:style w:type="paragraph" w:styleId="5">
    <w:name w:val="Body Text Indent"/>
    <w:basedOn w:val="1"/>
    <w:link w:val="20"/>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1"/>
    <w:qFormat/>
    <w:uiPriority w:val="0"/>
    <w:pPr>
      <w:ind w:left="100" w:leftChars="25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3"/>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paragraph" w:customStyle="1" w:styleId="18">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9">
    <w:name w:val="正文文本 Char"/>
    <w:basedOn w:val="15"/>
    <w:link w:val="4"/>
    <w:qFormat/>
    <w:uiPriority w:val="0"/>
    <w:rPr>
      <w:kern w:val="2"/>
      <w:sz w:val="21"/>
      <w:szCs w:val="24"/>
    </w:rPr>
  </w:style>
  <w:style w:type="character" w:customStyle="1" w:styleId="20">
    <w:name w:val="正文文本缩进 Char"/>
    <w:basedOn w:val="15"/>
    <w:link w:val="5"/>
    <w:qFormat/>
    <w:uiPriority w:val="0"/>
    <w:rPr>
      <w:kern w:val="2"/>
      <w:sz w:val="21"/>
      <w:szCs w:val="24"/>
    </w:rPr>
  </w:style>
  <w:style w:type="character" w:customStyle="1" w:styleId="21">
    <w:name w:val="日期 Char"/>
    <w:basedOn w:val="15"/>
    <w:link w:val="7"/>
    <w:qFormat/>
    <w:uiPriority w:val="0"/>
    <w:rPr>
      <w:kern w:val="2"/>
      <w:sz w:val="21"/>
      <w:szCs w:val="24"/>
    </w:rPr>
  </w:style>
  <w:style w:type="character" w:customStyle="1" w:styleId="22">
    <w:name w:val="页脚 Char"/>
    <w:basedOn w:val="15"/>
    <w:link w:val="8"/>
    <w:qFormat/>
    <w:locked/>
    <w:uiPriority w:val="0"/>
    <w:rPr>
      <w:rFonts w:eastAsia="宋体"/>
      <w:kern w:val="2"/>
      <w:sz w:val="18"/>
      <w:szCs w:val="18"/>
      <w:lang w:val="en-US" w:eastAsia="zh-CN" w:bidi="ar-SA"/>
    </w:rPr>
  </w:style>
  <w:style w:type="character" w:customStyle="1" w:styleId="23">
    <w:name w:val="标题 Char1"/>
    <w:link w:val="12"/>
    <w:qFormat/>
    <w:uiPriority w:val="0"/>
    <w:rPr>
      <w:rFonts w:eastAsia="方正小标宋_GBK"/>
      <w:b/>
      <w:kern w:val="44"/>
      <w:sz w:val="36"/>
      <w:szCs w:val="32"/>
      <w:lang w:bidi="ar-SA"/>
    </w:rPr>
  </w:style>
  <w:style w:type="paragraph" w:customStyle="1" w:styleId="24">
    <w:name w:val="主送"/>
    <w:basedOn w:val="3"/>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 w:type="paragraph" w:customStyle="1" w:styleId="33">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2740</Words>
  <Characters>2881</Characters>
  <Lines>4</Lines>
  <Paragraphs>6</Paragraphs>
  <TotalTime>9</TotalTime>
  <ScaleCrop>false</ScaleCrop>
  <LinksUpToDate>false</LinksUpToDate>
  <CharactersWithSpaces>3026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2025-12-09T03:10:50Z</cp:lastPrinted>
  <dcterms:modified xsi:type="dcterms:W3CDTF">2025-12-09T03:15:48Z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