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line="600" w:lineRule="exact"/>
        <w:jc w:val="both"/>
        <w:rPr>
          <w:rFonts w:hint="eastAsia" w:ascii="方正小标宋_GBK" w:hAnsi="Times New Roman" w:eastAsia="方正小标宋_GBK"/>
          <w:snapToGrid w:val="0"/>
          <w:color w:val="000000"/>
          <w:sz w:val="36"/>
          <w:szCs w:val="44"/>
        </w:rPr>
      </w:pPr>
    </w:p>
    <w:p>
      <w:pPr>
        <w:keepNext w:val="0"/>
        <w:keepLines w:val="0"/>
        <w:pageBreakBefore w:val="0"/>
        <w:kinsoku/>
        <w:wordWrap/>
        <w:overflowPunct/>
        <w:topLinePunct w:val="0"/>
        <w:autoSpaceDN/>
        <w:bidi w:val="0"/>
        <w:adjustRightInd w:val="0"/>
        <w:snapToGrid w:val="0"/>
        <w:spacing w:line="600" w:lineRule="exact"/>
        <w:jc w:val="center"/>
        <w:rPr>
          <w:rFonts w:hint="eastAsia" w:ascii="方正小标宋简体" w:hAnsi="方正小标宋简体" w:eastAsia="方正小标宋简体" w:cs="方正小标宋简体"/>
          <w:snapToGrid w:val="0"/>
          <w:color w:val="000000"/>
          <w:sz w:val="44"/>
          <w:szCs w:val="44"/>
          <w:lang w:val="en-US" w:eastAsia="zh-CN"/>
        </w:rPr>
      </w:pPr>
      <w:r>
        <w:rPr>
          <w:rFonts w:hint="eastAsia" w:ascii="方正小标宋简体" w:hAnsi="方正小标宋简体" w:eastAsia="方正小标宋简体" w:cs="方正小标宋简体"/>
          <w:snapToGrid w:val="0"/>
          <w:color w:val="000000"/>
          <w:sz w:val="44"/>
          <w:szCs w:val="44"/>
          <w:lang w:eastAsia="zh-CN"/>
        </w:rPr>
        <w:t>玉林市发展和改革委员会</w:t>
      </w:r>
      <w:r>
        <w:rPr>
          <w:rFonts w:hint="eastAsia" w:ascii="方正小标宋简体" w:hAnsi="方正小标宋简体" w:eastAsia="方正小标宋简体" w:cs="方正小标宋简体"/>
          <w:snapToGrid w:val="0"/>
          <w:color w:val="000000"/>
          <w:sz w:val="44"/>
          <w:szCs w:val="44"/>
          <w:lang w:val="en-US" w:eastAsia="zh-CN"/>
        </w:rPr>
        <w:t>2021年</w:t>
      </w:r>
    </w:p>
    <w:p>
      <w:pPr>
        <w:keepNext w:val="0"/>
        <w:keepLines w:val="0"/>
        <w:pageBreakBefore w:val="0"/>
        <w:kinsoku/>
        <w:wordWrap/>
        <w:overflowPunct/>
        <w:topLinePunct w:val="0"/>
        <w:autoSpaceDN/>
        <w:bidi w:val="0"/>
        <w:adjustRightInd w:val="0"/>
        <w:snapToGrid w:val="0"/>
        <w:spacing w:line="600" w:lineRule="exact"/>
        <w:jc w:val="center"/>
        <w:rPr>
          <w:rFonts w:hint="eastAsia" w:ascii="方正小标宋_GBK" w:hAnsi="Times New Roman" w:eastAsia="方正小标宋_GBK"/>
          <w:snapToGrid w:val="0"/>
          <w:color w:val="000000"/>
          <w:sz w:val="36"/>
          <w:szCs w:val="44"/>
        </w:rPr>
      </w:pPr>
      <w:r>
        <w:rPr>
          <w:rFonts w:hint="eastAsia" w:ascii="方正小标宋简体" w:hAnsi="方正小标宋简体" w:eastAsia="方正小标宋简体" w:cs="方正小标宋简体"/>
          <w:snapToGrid w:val="0"/>
          <w:color w:val="000000"/>
          <w:sz w:val="44"/>
          <w:szCs w:val="44"/>
        </w:rPr>
        <w:t>政府信息公开工作年度报告</w:t>
      </w:r>
    </w:p>
    <w:p>
      <w:pPr>
        <w:keepNext w:val="0"/>
        <w:keepLines w:val="0"/>
        <w:pageBreakBefore w:val="0"/>
        <w:kinsoku/>
        <w:wordWrap/>
        <w:overflowPunct/>
        <w:topLinePunct w:val="0"/>
        <w:autoSpaceDN/>
        <w:bidi w:val="0"/>
        <w:adjustRightInd w:val="0"/>
        <w:snapToGrid w:val="0"/>
        <w:spacing w:line="600" w:lineRule="exact"/>
        <w:jc w:val="center"/>
        <w:rPr>
          <w:rFonts w:hint="eastAsia" w:ascii="方正小标宋_GBK" w:hAnsi="Times New Roman" w:eastAsia="方正小标宋_GBK"/>
          <w:snapToGrid w:val="0"/>
          <w:color w:val="000000"/>
          <w:sz w:val="36"/>
          <w:szCs w:val="44"/>
        </w:rPr>
      </w:pP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default"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根据《中华人民共和国政府信息公开条例》的规定和《国务院办公厅政府信息与政务公开办公室关于印发&lt;中华人民共和国政府信息公开工作年度报告格式&gt;的通知》（国办公开办函〔2021〕30号）要求，现公布玉林市发展和改革委员会2021年政府信息公开工作年度报告。本报告内容包括：总体情况、主动公开政府信息情况、收到和处理政府信息公开申请情况、政府信息公开工作行政复议和行政诉讼情况、存在问题及改进情况、其他需报告的事项。本报告中使用数据统计时限为2021年1月1日至2021年12月31日。</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一、总体情况</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default"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2021年，玉林市发展和改革委员会以习近平新时代中国特色社会主义思想为指导</w:t>
      </w:r>
      <w:bookmarkStart w:id="0" w:name="_GoBack"/>
      <w:bookmarkEnd w:id="0"/>
      <w:r>
        <w:rPr>
          <w:rFonts w:hint="eastAsia" w:ascii="仿宋_GB2312" w:hAnsi="仿宋_GB2312" w:eastAsia="仿宋_GB2312" w:cs="仿宋_GB2312"/>
          <w:snapToGrid w:val="0"/>
          <w:color w:val="000000"/>
          <w:sz w:val="32"/>
          <w:szCs w:val="32"/>
          <w:lang w:val="en-US" w:eastAsia="zh-CN"/>
        </w:rPr>
        <w:t>，认真贯彻党的十九大和十九届</w:t>
      </w:r>
      <w:r>
        <w:rPr>
          <w:rFonts w:hint="default" w:ascii="仿宋_GB2312" w:hAnsi="仿宋_GB2312" w:eastAsia="仿宋_GB2312" w:cs="仿宋_GB2312"/>
          <w:snapToGrid w:val="0"/>
          <w:color w:val="000000"/>
          <w:sz w:val="32"/>
          <w:szCs w:val="32"/>
          <w:lang w:eastAsia="zh-CN"/>
        </w:rPr>
        <w:t>历次</w:t>
      </w:r>
      <w:r>
        <w:rPr>
          <w:rFonts w:hint="eastAsia" w:ascii="仿宋_GB2312" w:hAnsi="仿宋_GB2312" w:eastAsia="仿宋_GB2312" w:cs="仿宋_GB2312"/>
          <w:snapToGrid w:val="0"/>
          <w:color w:val="000000"/>
          <w:sz w:val="32"/>
          <w:szCs w:val="32"/>
          <w:lang w:val="en-US" w:eastAsia="zh-CN"/>
        </w:rPr>
        <w:t>全会精神，全面贯彻落实《中华人民共和国政府信息公开条例》和《</w:t>
      </w:r>
      <w:r>
        <w:rPr>
          <w:rFonts w:hint="eastAsia" w:ascii="仿宋_GB2312" w:hAnsi="仿宋_GB2312" w:eastAsia="仿宋_GB2312" w:cs="仿宋_GB2312"/>
          <w:snapToGrid w:val="0"/>
          <w:color w:val="000000"/>
          <w:sz w:val="32"/>
          <w:szCs w:val="32"/>
        </w:rPr>
        <w:t>广西壮族自治区政务服务和政务公开工作领导小组关于印发2021年全区政务公开工作要点的通知</w:t>
      </w:r>
      <w:r>
        <w:rPr>
          <w:rFonts w:hint="eastAsia" w:ascii="仿宋_GB2312" w:hAnsi="仿宋_GB2312" w:eastAsia="仿宋_GB2312" w:cs="仿宋_GB2312"/>
          <w:snapToGrid w:val="0"/>
          <w:color w:val="000000"/>
          <w:sz w:val="32"/>
          <w:szCs w:val="32"/>
          <w:lang w:val="en-US" w:eastAsia="zh-CN"/>
        </w:rPr>
        <w:t>》要求，立足发展改革工作实际，扎实推动政务公开规范化、标准化建设。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20" w:lineRule="exact"/>
        <w:ind w:right="0" w:firstLine="640" w:firstLineChars="200"/>
        <w:jc w:val="both"/>
        <w:textAlignment w:val="auto"/>
        <w:rPr>
          <w:rFonts w:hint="default" w:ascii="仿宋_GB2312" w:hAnsi="仿宋_GB2312" w:eastAsia="仿宋_GB2312" w:cs="仿宋_GB2312"/>
          <w:color w:val="333333"/>
          <w:kern w:val="0"/>
          <w:sz w:val="32"/>
          <w:szCs w:val="32"/>
          <w:shd w:val="clear" w:fill="FFFFFF"/>
          <w:lang w:val="en-US" w:eastAsia="zh-CN" w:bidi="ar"/>
        </w:rPr>
      </w:pPr>
      <w:r>
        <w:rPr>
          <w:rFonts w:hint="eastAsia" w:ascii="楷体_GB2312" w:hAnsi="楷体_GB2312" w:eastAsia="楷体_GB2312" w:cs="楷体_GB2312"/>
          <w:snapToGrid w:val="0"/>
          <w:color w:val="000000"/>
          <w:sz w:val="32"/>
          <w:szCs w:val="32"/>
          <w:lang w:val="en-US" w:eastAsia="zh-CN"/>
        </w:rPr>
        <w:t>（一）主动公开方面。</w:t>
      </w:r>
      <w:r>
        <w:rPr>
          <w:rFonts w:hint="eastAsia" w:ascii="仿宋_GB2312" w:hAnsi="仿宋_GB2312" w:eastAsia="仿宋_GB2312" w:cs="仿宋_GB2312"/>
          <w:b/>
          <w:bCs/>
          <w:snapToGrid w:val="0"/>
          <w:color w:val="000000"/>
          <w:sz w:val="32"/>
          <w:szCs w:val="32"/>
          <w:lang w:val="en-US" w:eastAsia="zh-CN"/>
        </w:rPr>
        <w:t>一是</w:t>
      </w:r>
      <w:r>
        <w:rPr>
          <w:rFonts w:hint="eastAsia" w:ascii="仿宋_GB2312" w:hAnsi="仿宋_GB2312" w:eastAsia="仿宋_GB2312" w:cs="仿宋_GB2312"/>
          <w:snapToGrid w:val="0"/>
          <w:color w:val="000000"/>
          <w:sz w:val="32"/>
          <w:szCs w:val="32"/>
          <w:lang w:val="en-US" w:eastAsia="zh-CN"/>
        </w:rPr>
        <w:t>将重大建设项目领域的项目批准服务信息、批准结果信息、重大设计变更信息等信息通过玉林市人民政府门户网站向社会发布。</w:t>
      </w:r>
      <w:r>
        <w:rPr>
          <w:rFonts w:hint="eastAsia" w:ascii="仿宋_GB2312" w:hAnsi="仿宋_GB2312" w:eastAsia="仿宋_GB2312" w:cs="仿宋_GB2312"/>
          <w:b/>
          <w:bCs/>
          <w:snapToGrid w:val="0"/>
          <w:color w:val="000000"/>
          <w:sz w:val="32"/>
          <w:szCs w:val="32"/>
          <w:lang w:val="en-US" w:eastAsia="zh-CN"/>
        </w:rPr>
        <w:t>二是</w:t>
      </w:r>
      <w:r>
        <w:rPr>
          <w:rFonts w:hint="eastAsia" w:ascii="仿宋_GB2312" w:hAnsi="仿宋_GB2312" w:eastAsia="仿宋_GB2312" w:cs="仿宋_GB2312"/>
          <w:snapToGrid w:val="0"/>
          <w:color w:val="000000"/>
          <w:sz w:val="32"/>
          <w:szCs w:val="32"/>
        </w:rPr>
        <w:t>主动公开</w:t>
      </w:r>
      <w:r>
        <w:rPr>
          <w:rFonts w:hint="eastAsia" w:ascii="仿宋_GB2312" w:hAnsi="仿宋_GB2312" w:eastAsia="仿宋_GB2312" w:cs="仿宋_GB2312"/>
          <w:snapToGrid w:val="0"/>
          <w:color w:val="000000"/>
          <w:sz w:val="32"/>
          <w:szCs w:val="32"/>
          <w:lang w:eastAsia="zh-CN"/>
        </w:rPr>
        <w:t>本部门权责</w:t>
      </w:r>
      <w:r>
        <w:rPr>
          <w:rFonts w:hint="eastAsia" w:ascii="仿宋_GB2312" w:hAnsi="仿宋_GB2312" w:eastAsia="仿宋_GB2312" w:cs="仿宋_GB2312"/>
          <w:snapToGrid w:val="0"/>
          <w:color w:val="000000"/>
          <w:sz w:val="32"/>
          <w:szCs w:val="32"/>
        </w:rPr>
        <w:t>清单并根据调整情况动态更新</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b/>
          <w:bCs/>
          <w:snapToGrid w:val="0"/>
          <w:color w:val="000000"/>
          <w:sz w:val="32"/>
          <w:szCs w:val="32"/>
          <w:lang w:eastAsia="zh-CN"/>
        </w:rPr>
        <w:t>三是</w:t>
      </w:r>
      <w:r>
        <w:rPr>
          <w:rFonts w:hint="eastAsia" w:ascii="仿宋_GB2312" w:hAnsi="仿宋_GB2312" w:eastAsia="仿宋_GB2312" w:cs="仿宋_GB2312"/>
          <w:snapToGrid w:val="0"/>
          <w:color w:val="000000"/>
          <w:sz w:val="32"/>
          <w:szCs w:val="32"/>
          <w:lang w:eastAsia="zh-CN"/>
        </w:rPr>
        <w:t>持续做好政府信息公开工作。</w:t>
      </w:r>
      <w:r>
        <w:rPr>
          <w:rFonts w:hint="eastAsia" w:ascii="仿宋_GB2312" w:hAnsi="仿宋_GB2312" w:eastAsia="仿宋_GB2312" w:cs="仿宋_GB2312"/>
          <w:snapToGrid w:val="0"/>
          <w:color w:val="000000"/>
          <w:sz w:val="32"/>
          <w:szCs w:val="32"/>
          <w:lang w:val="en-US" w:eastAsia="zh-CN"/>
        </w:rPr>
        <w:t>2021年我委利用部门网站公开政府信息526条，“玉林发展改革”微信公众号发布信息137条。同时通过</w:t>
      </w:r>
      <w:r>
        <w:rPr>
          <w:rFonts w:hint="eastAsia" w:ascii="仿宋_GB2312" w:hAnsi="仿宋_GB2312" w:eastAsia="仿宋_GB2312" w:cs="仿宋_GB2312"/>
          <w:color w:val="333333"/>
          <w:kern w:val="0"/>
          <w:sz w:val="32"/>
          <w:szCs w:val="32"/>
          <w:shd w:val="clear" w:fill="FFFFFF"/>
          <w:lang w:val="en-US" w:eastAsia="zh-CN" w:bidi="ar"/>
        </w:rPr>
        <w:t>“12345”政府服务热线、</w:t>
      </w:r>
      <w:r>
        <w:rPr>
          <w:rFonts w:hint="default" w:ascii="仿宋_GB2312" w:hAnsi="仿宋_GB2312" w:eastAsia="仿宋_GB2312" w:cs="仿宋_GB2312"/>
          <w:color w:val="333333"/>
          <w:kern w:val="0"/>
          <w:sz w:val="32"/>
          <w:szCs w:val="32"/>
          <w:shd w:val="clear" w:fill="FFFFFF"/>
          <w:lang w:val="en-US" w:eastAsia="zh-CN" w:bidi="ar"/>
        </w:rPr>
        <w:t>宣传栏、板报、</w:t>
      </w:r>
      <w:r>
        <w:rPr>
          <w:rFonts w:hint="eastAsia" w:ascii="仿宋_GB2312" w:hAnsi="仿宋_GB2312" w:eastAsia="仿宋_GB2312" w:cs="仿宋_GB2312"/>
          <w:color w:val="333333"/>
          <w:kern w:val="0"/>
          <w:sz w:val="32"/>
          <w:szCs w:val="32"/>
          <w:shd w:val="clear" w:fill="FFFFFF"/>
          <w:lang w:val="en-US" w:eastAsia="zh-CN" w:bidi="ar"/>
        </w:rPr>
        <w:t>召开</w:t>
      </w:r>
      <w:r>
        <w:rPr>
          <w:rFonts w:hint="default" w:ascii="仿宋_GB2312" w:hAnsi="仿宋_GB2312" w:eastAsia="仿宋_GB2312" w:cs="仿宋_GB2312"/>
          <w:color w:val="333333"/>
          <w:kern w:val="0"/>
          <w:sz w:val="32"/>
          <w:szCs w:val="32"/>
          <w:shd w:val="clear" w:fill="FFFFFF"/>
          <w:lang w:val="en-US" w:eastAsia="zh-CN" w:bidi="ar"/>
        </w:rPr>
        <w:t>新闻</w:t>
      </w:r>
      <w:r>
        <w:rPr>
          <w:rFonts w:hint="eastAsia" w:ascii="仿宋_GB2312" w:hAnsi="仿宋_GB2312" w:eastAsia="仿宋_GB2312" w:cs="仿宋_GB2312"/>
          <w:color w:val="333333"/>
          <w:kern w:val="0"/>
          <w:sz w:val="32"/>
          <w:szCs w:val="32"/>
          <w:shd w:val="clear" w:fill="FFFFFF"/>
          <w:lang w:val="en-US" w:eastAsia="zh-CN" w:bidi="ar"/>
        </w:rPr>
        <w:t>发布会</w:t>
      </w:r>
      <w:r>
        <w:rPr>
          <w:rFonts w:hint="default" w:ascii="仿宋_GB2312" w:hAnsi="仿宋_GB2312" w:eastAsia="仿宋_GB2312" w:cs="仿宋_GB2312"/>
          <w:color w:val="333333"/>
          <w:kern w:val="0"/>
          <w:sz w:val="32"/>
          <w:szCs w:val="32"/>
          <w:shd w:val="clear" w:fill="FFFFFF"/>
          <w:lang w:val="en-US" w:eastAsia="zh-CN" w:bidi="ar"/>
        </w:rPr>
        <w:t>、</w:t>
      </w:r>
      <w:r>
        <w:rPr>
          <w:rFonts w:hint="eastAsia" w:ascii="仿宋_GB2312" w:hAnsi="仿宋_GB2312" w:eastAsia="仿宋_GB2312" w:cs="仿宋_GB2312"/>
          <w:color w:val="333333"/>
          <w:kern w:val="0"/>
          <w:sz w:val="32"/>
          <w:szCs w:val="32"/>
          <w:shd w:val="clear" w:fill="FFFFFF"/>
          <w:lang w:val="en-US" w:eastAsia="zh-CN" w:bidi="ar"/>
        </w:rPr>
        <w:t>提供新闻材料</w:t>
      </w:r>
      <w:r>
        <w:rPr>
          <w:rFonts w:hint="default" w:ascii="仿宋_GB2312" w:hAnsi="仿宋_GB2312" w:eastAsia="仿宋_GB2312" w:cs="仿宋_GB2312"/>
          <w:color w:val="333333"/>
          <w:kern w:val="0"/>
          <w:sz w:val="32"/>
          <w:szCs w:val="32"/>
          <w:shd w:val="clear" w:fill="FFFFFF"/>
          <w:lang w:val="en-US" w:eastAsia="zh-CN" w:bidi="ar"/>
        </w:rPr>
        <w:t>等</w:t>
      </w:r>
      <w:r>
        <w:rPr>
          <w:rFonts w:hint="eastAsia" w:ascii="仿宋_GB2312" w:hAnsi="仿宋_GB2312" w:eastAsia="仿宋_GB2312" w:cs="仿宋_GB2312"/>
          <w:color w:val="333333"/>
          <w:kern w:val="0"/>
          <w:sz w:val="32"/>
          <w:szCs w:val="32"/>
          <w:shd w:val="clear" w:fill="FFFFFF"/>
          <w:lang w:val="en-US" w:eastAsia="zh-CN" w:bidi="ar"/>
        </w:rPr>
        <w:t>形式，认真</w:t>
      </w:r>
      <w:r>
        <w:rPr>
          <w:rFonts w:hint="default" w:ascii="仿宋_GB2312" w:hAnsi="仿宋_GB2312" w:eastAsia="仿宋_GB2312" w:cs="仿宋_GB2312"/>
          <w:color w:val="333333"/>
          <w:kern w:val="0"/>
          <w:sz w:val="32"/>
          <w:szCs w:val="32"/>
          <w:shd w:val="clear" w:fill="FFFFFF"/>
          <w:lang w:val="en-US" w:eastAsia="zh-CN" w:bidi="ar"/>
        </w:rPr>
        <w:t>开展政民互动</w:t>
      </w:r>
      <w:r>
        <w:rPr>
          <w:rFonts w:hint="eastAsia" w:ascii="仿宋_GB2312" w:hAnsi="仿宋_GB2312" w:eastAsia="仿宋_GB2312" w:cs="仿宋_GB2312"/>
          <w:color w:val="333333"/>
          <w:kern w:val="0"/>
          <w:sz w:val="32"/>
          <w:szCs w:val="32"/>
          <w:shd w:val="clear" w:fill="FFFFFF"/>
          <w:lang w:val="en-US" w:eastAsia="zh-CN" w:bidi="ar"/>
        </w:rPr>
        <w:t>，</w:t>
      </w:r>
      <w:r>
        <w:rPr>
          <w:rFonts w:hint="default" w:ascii="仿宋_GB2312" w:hAnsi="仿宋_GB2312" w:eastAsia="仿宋_GB2312" w:cs="仿宋_GB2312"/>
          <w:color w:val="333333"/>
          <w:kern w:val="0"/>
          <w:sz w:val="32"/>
          <w:szCs w:val="32"/>
          <w:shd w:val="clear" w:fill="FFFFFF"/>
          <w:lang w:val="en-US" w:eastAsia="zh-CN" w:bidi="ar"/>
        </w:rPr>
        <w:t>收到并按时回复网友来信咨询</w:t>
      </w:r>
      <w:r>
        <w:rPr>
          <w:rFonts w:hint="eastAsia" w:ascii="仿宋_GB2312" w:hAnsi="仿宋_GB2312" w:eastAsia="仿宋_GB2312" w:cs="仿宋_GB2312"/>
          <w:color w:val="333333"/>
          <w:kern w:val="0"/>
          <w:sz w:val="32"/>
          <w:szCs w:val="32"/>
          <w:shd w:val="clear" w:fill="FFFFFF"/>
          <w:lang w:val="en-US" w:eastAsia="zh-CN" w:bidi="ar"/>
        </w:rPr>
        <w:t>37</w:t>
      </w:r>
      <w:r>
        <w:rPr>
          <w:rFonts w:hint="default" w:ascii="仿宋_GB2312" w:hAnsi="仿宋_GB2312" w:eastAsia="仿宋_GB2312" w:cs="仿宋_GB2312"/>
          <w:color w:val="333333"/>
          <w:kern w:val="0"/>
          <w:sz w:val="32"/>
          <w:szCs w:val="32"/>
          <w:shd w:val="clear" w:fill="FFFFFF"/>
          <w:lang w:val="en-US" w:eastAsia="zh-CN" w:bidi="ar"/>
        </w:rPr>
        <w:t>条</w:t>
      </w:r>
      <w:r>
        <w:rPr>
          <w:rFonts w:hint="eastAsia" w:ascii="仿宋_GB2312" w:hAnsi="仿宋_GB2312" w:eastAsia="仿宋_GB2312" w:cs="仿宋_GB2312"/>
          <w:color w:val="333333"/>
          <w:kern w:val="0"/>
          <w:sz w:val="32"/>
          <w:szCs w:val="32"/>
          <w:shd w:val="clear" w:fill="FFFFFF"/>
          <w:lang w:val="en-US" w:eastAsia="zh-CN" w:bidi="ar"/>
        </w:rPr>
        <w:t>，组织召开新闻发布会4场。</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snapToGrid w:val="0"/>
          <w:color w:val="000000"/>
          <w:sz w:val="32"/>
          <w:szCs w:val="32"/>
          <w:lang w:val="en-US" w:eastAsia="zh-CN"/>
        </w:rPr>
        <w:t>（二）依申请公开方面。</w:t>
      </w:r>
      <w:r>
        <w:rPr>
          <w:rFonts w:hint="eastAsia" w:ascii="仿宋_GB2312" w:hAnsi="仿宋_GB2312" w:eastAsia="仿宋_GB2312" w:cs="仿宋_GB2312"/>
          <w:snapToGrid w:val="0"/>
          <w:color w:val="000000"/>
          <w:sz w:val="32"/>
          <w:szCs w:val="32"/>
          <w:lang w:val="en-US" w:eastAsia="zh-CN"/>
        </w:rPr>
        <w:t>2021年，我委严格按照《中华人民共和国政府信息公开条例》《广西壮族自治区政府信息依申请公开工作制度》的规定和要求，认真办理依申请公开事项，全年共办理政府信息公开申请15件，到期办结率100%，无因政府信息公开工作被申请行政复议、提起行政诉讼的情况。</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snapToGrid w:val="0"/>
          <w:color w:val="000000"/>
          <w:sz w:val="32"/>
          <w:szCs w:val="32"/>
          <w:lang w:val="en-US" w:eastAsia="zh-CN"/>
        </w:rPr>
        <w:t>（三）政府信息管理方面。</w:t>
      </w:r>
      <w:r>
        <w:rPr>
          <w:rFonts w:hint="eastAsia" w:ascii="仿宋_GB2312" w:hAnsi="仿宋_GB2312" w:eastAsia="仿宋_GB2312" w:cs="仿宋_GB2312"/>
          <w:snapToGrid w:val="0"/>
          <w:color w:val="000000"/>
          <w:sz w:val="32"/>
          <w:szCs w:val="32"/>
          <w:lang w:val="en-US" w:eastAsia="zh-CN"/>
        </w:rPr>
        <w:t>严格规范开展政策性文件向社会公开征集意见有关工作，全年共报备出台行政规范性文件1件；按要求归集建设政府信息公开专栏。</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snapToGrid w:val="0"/>
          <w:color w:val="000000"/>
          <w:sz w:val="32"/>
          <w:szCs w:val="32"/>
          <w:lang w:val="en-US" w:eastAsia="zh-CN"/>
        </w:rPr>
        <w:t>（四）政府信息公开平台建设方面。</w:t>
      </w:r>
      <w:r>
        <w:rPr>
          <w:rFonts w:hint="eastAsia" w:ascii="仿宋_GB2312" w:hAnsi="仿宋_GB2312" w:eastAsia="仿宋_GB2312" w:cs="仿宋_GB2312"/>
          <w:snapToGrid w:val="0"/>
          <w:color w:val="000000"/>
          <w:sz w:val="32"/>
          <w:szCs w:val="32"/>
          <w:lang w:val="en-US" w:eastAsia="zh-CN"/>
        </w:rPr>
        <w:t>截至目前，我委已开设“广西玉林市发展和改革委员会”部门网站和“玉林发展改革”政务微信公众号。</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Autospacing="0" w:line="600" w:lineRule="exact"/>
        <w:ind w:left="0" w:right="0" w:firstLine="480"/>
        <w:jc w:val="both"/>
        <w:textAlignment w:val="auto"/>
        <w:rPr>
          <w:rFonts w:hint="eastAsia" w:ascii="仿宋_GB2312" w:hAnsi="仿宋_GB2312" w:eastAsia="仿宋_GB2312" w:cs="仿宋_GB2312"/>
          <w:color w:val="333333"/>
          <w:kern w:val="0"/>
          <w:sz w:val="32"/>
          <w:szCs w:val="32"/>
          <w:shd w:val="clear" w:fill="FFFFFF"/>
          <w:lang w:val="en-US" w:eastAsia="zh-CN" w:bidi="ar"/>
        </w:rPr>
      </w:pPr>
      <w:r>
        <w:rPr>
          <w:rFonts w:hint="eastAsia" w:ascii="楷体_GB2312" w:hAnsi="楷体_GB2312" w:eastAsia="楷体_GB2312" w:cs="楷体_GB2312"/>
          <w:snapToGrid w:val="0"/>
          <w:color w:val="000000"/>
          <w:sz w:val="32"/>
          <w:szCs w:val="32"/>
          <w:lang w:val="en-US" w:eastAsia="zh-CN"/>
        </w:rPr>
        <w:t>（五）监督保障方面。</w:t>
      </w:r>
      <w:r>
        <w:rPr>
          <w:rFonts w:hint="eastAsia" w:ascii="仿宋_GB2312" w:hAnsi="微软雅黑" w:eastAsia="仿宋_GB2312" w:cs="宋体"/>
          <w:color w:val="333333"/>
          <w:kern w:val="0"/>
          <w:sz w:val="32"/>
          <w:szCs w:val="32"/>
          <w:shd w:val="clear" w:fill="FFFFFF"/>
          <w:lang w:val="en-US" w:eastAsia="zh-CN" w:bidi="ar"/>
        </w:rPr>
        <w:t>一是健全工作机构。因人员调整，为确保政府信息公开工作顺利开展，及时调整了玉林市发展和改革委员会信息公开领导小组及组成人员。明确委办公室牵头统筹本部门政务公开工作，主要负责部门网站、政务微信公众号运维，组织开展政民互动，及时回应社会关切；明确政策研究和国民经济综合科负责统筹党委信息、政务信息、内刊简报等信息的编报工作，同时负责对外组织新闻宣传相关工作。委各科室、委属各单位落实1名文字功底较好的同志担任信息联络员，组织协调本科室、单位政府信息公开工作。</w:t>
      </w:r>
      <w:r>
        <w:rPr>
          <w:rFonts w:hint="eastAsia" w:ascii="仿宋_GB2312" w:hAnsi="仿宋_GB2312" w:eastAsia="仿宋_GB2312" w:cs="仿宋_GB2312"/>
          <w:color w:val="333333"/>
          <w:kern w:val="0"/>
          <w:sz w:val="32"/>
          <w:szCs w:val="32"/>
          <w:shd w:val="clear" w:fill="FFFFFF"/>
          <w:lang w:val="en-US" w:eastAsia="zh-CN" w:bidi="ar"/>
        </w:rPr>
        <w:t>二是落实专人负责。委办公室安排了专人每周、每月对部门网站所有栏目进行全面检查，确保每个栏目及时更新。三是加强业务培训学习。坚持把《政府信息公开条例》作为落实干部学法用法制度的重要内容，组织领导干部职工认真学习领会；及时传达国家、自治区及我市党委政府出台的政务公开政策文件精神；积极组织业务骨干参加全市政务公开工作培训班。四是落实政府信息先审后发制度。坚持信息内容审核把关，从源头上把控信息内容质量，避免出现严重表述错误、泄密等问题。</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二、主动公开政府信息情况</w:t>
      </w:r>
    </w:p>
    <w:tbl>
      <w:tblPr>
        <w:tblStyle w:val="15"/>
        <w:tblW w:w="9072" w:type="dxa"/>
        <w:tblInd w:w="0" w:type="dxa"/>
        <w:tblLayout w:type="fixed"/>
        <w:tblCellMar>
          <w:top w:w="28" w:type="dxa"/>
          <w:left w:w="28" w:type="dxa"/>
          <w:bottom w:w="28" w:type="dxa"/>
          <w:right w:w="28" w:type="dxa"/>
        </w:tblCellMar>
      </w:tblPr>
      <w:tblGrid>
        <w:gridCol w:w="2268"/>
        <w:gridCol w:w="2268"/>
        <w:gridCol w:w="2268"/>
        <w:gridCol w:w="2268"/>
      </w:tblGrid>
      <w:tr>
        <w:tblPrEx>
          <w:tblCellMar>
            <w:top w:w="28" w:type="dxa"/>
            <w:left w:w="28" w:type="dxa"/>
            <w:bottom w:w="28" w:type="dxa"/>
            <w:right w:w="28" w:type="dxa"/>
          </w:tblCellMar>
        </w:tblPrEx>
        <w:trPr>
          <w:trHeight w:val="780" w:hRule="atLeast"/>
        </w:trPr>
        <w:tc>
          <w:tcPr>
            <w:tcW w:w="9072" w:type="dxa"/>
            <w:gridSpan w:val="4"/>
            <w:tcBorders>
              <w:top w:val="single" w:color="auto" w:sz="8" w:space="0"/>
              <w:left w:val="single" w:color="auto" w:sz="8" w:space="0"/>
              <w:bottom w:val="single" w:color="auto" w:sz="8" w:space="0"/>
              <w:right w:val="single" w:color="auto" w:sz="8" w:space="0"/>
            </w:tcBorders>
            <w:shd w:val="clear" w:color="auto" w:fill="C7DAF1" w:themeFill="text2" w:themeFillTint="3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黑体_GBK" w:hAnsi="Times New Roman" w:eastAsia="方正黑体_GBK"/>
                <w:color w:val="auto"/>
                <w:kern w:val="0"/>
                <w:szCs w:val="21"/>
                <w:lang w:eastAsia="zh-CN"/>
              </w:rPr>
            </w:pPr>
            <w:r>
              <w:rPr>
                <w:rFonts w:hint="eastAsia" w:ascii="黑体" w:hAnsi="黑体" w:eastAsia="黑体" w:cs="黑体"/>
                <w:color w:val="auto"/>
                <w:kern w:val="0"/>
                <w:szCs w:val="21"/>
              </w:rPr>
              <w:t>第二十条第（一）项</w:t>
            </w:r>
          </w:p>
        </w:tc>
      </w:tr>
      <w:tr>
        <w:tblPrEx>
          <w:tblCellMar>
            <w:top w:w="28" w:type="dxa"/>
            <w:left w:w="28" w:type="dxa"/>
            <w:bottom w:w="28" w:type="dxa"/>
            <w:right w:w="28" w:type="dxa"/>
          </w:tblCellMar>
        </w:tblPrEx>
        <w:trPr>
          <w:trHeight w:val="788" w:hRule="atLeast"/>
        </w:trPr>
        <w:tc>
          <w:tcPr>
            <w:tcW w:w="2268"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信息内容</w:t>
            </w:r>
          </w:p>
        </w:tc>
        <w:tc>
          <w:tcPr>
            <w:tcW w:w="226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本年制发件数</w:t>
            </w:r>
          </w:p>
        </w:tc>
        <w:tc>
          <w:tcPr>
            <w:tcW w:w="226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本年废止件数</w:t>
            </w:r>
          </w:p>
        </w:tc>
        <w:tc>
          <w:tcPr>
            <w:tcW w:w="226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现行有效件数</w:t>
            </w:r>
          </w:p>
        </w:tc>
      </w:tr>
      <w:tr>
        <w:tblPrEx>
          <w:tblCellMar>
            <w:top w:w="28" w:type="dxa"/>
            <w:left w:w="28" w:type="dxa"/>
            <w:bottom w:w="28" w:type="dxa"/>
            <w:right w:w="28" w:type="dxa"/>
          </w:tblCellMar>
        </w:tblPrEx>
        <w:trPr>
          <w:trHeight w:val="397" w:hRule="atLeast"/>
        </w:trPr>
        <w:tc>
          <w:tcPr>
            <w:tcW w:w="2268"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规章</w:t>
            </w:r>
          </w:p>
        </w:tc>
        <w:tc>
          <w:tcPr>
            <w:tcW w:w="226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lang w:val="en-US" w:eastAsia="zh-CN"/>
              </w:rPr>
            </w:pPr>
            <w:r>
              <w:rPr>
                <w:rFonts w:hint="eastAsia" w:ascii="方正书宋_GBK" w:hAnsi="Times New Roman" w:eastAsia="方正书宋_GBK"/>
                <w:color w:val="auto"/>
                <w:kern w:val="0"/>
                <w:szCs w:val="21"/>
                <w:lang w:val="en-US" w:eastAsia="zh-CN"/>
              </w:rPr>
              <w:t>0</w:t>
            </w:r>
          </w:p>
        </w:tc>
        <w:tc>
          <w:tcPr>
            <w:tcW w:w="226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lang w:val="en-US" w:eastAsia="zh-CN"/>
              </w:rPr>
            </w:pPr>
            <w:r>
              <w:rPr>
                <w:rFonts w:hint="eastAsia" w:ascii="方正书宋_GBK" w:hAnsi="Times New Roman" w:eastAsia="方正书宋_GBK"/>
                <w:color w:val="auto"/>
                <w:kern w:val="0"/>
                <w:szCs w:val="21"/>
                <w:lang w:val="en-US" w:eastAsia="zh-CN"/>
              </w:rPr>
              <w:t>0</w:t>
            </w:r>
          </w:p>
        </w:tc>
        <w:tc>
          <w:tcPr>
            <w:tcW w:w="226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lang w:val="en-US" w:eastAsia="zh-CN"/>
              </w:rPr>
            </w:pPr>
            <w:r>
              <w:rPr>
                <w:rFonts w:hint="eastAsia" w:ascii="Times New Roman" w:hAnsi="Times New Roman" w:eastAsia="方正书宋_GBK"/>
                <w:color w:val="auto"/>
                <w:kern w:val="0"/>
                <w:szCs w:val="21"/>
                <w:lang w:val="en-US" w:eastAsia="zh-CN"/>
              </w:rPr>
              <w:t>0</w:t>
            </w:r>
          </w:p>
        </w:tc>
      </w:tr>
      <w:tr>
        <w:tblPrEx>
          <w:tblCellMar>
            <w:top w:w="28" w:type="dxa"/>
            <w:left w:w="28" w:type="dxa"/>
            <w:bottom w:w="28" w:type="dxa"/>
            <w:right w:w="28" w:type="dxa"/>
          </w:tblCellMar>
        </w:tblPrEx>
        <w:trPr>
          <w:trHeight w:val="588" w:hRule="atLeast"/>
        </w:trPr>
        <w:tc>
          <w:tcPr>
            <w:tcW w:w="2268"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行政规范性文件</w:t>
            </w:r>
          </w:p>
        </w:tc>
        <w:tc>
          <w:tcPr>
            <w:tcW w:w="226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方正书宋_GBK" w:hAnsi="Times New Roman" w:eastAsia="方正书宋_GBK"/>
                <w:color w:val="auto"/>
                <w:kern w:val="0"/>
                <w:szCs w:val="21"/>
                <w:lang w:val="en-US" w:eastAsia="zh-CN"/>
              </w:rPr>
            </w:pPr>
            <w:r>
              <w:rPr>
                <w:rFonts w:hint="eastAsia" w:ascii="方正书宋_GBK" w:hAnsi="Times New Roman" w:eastAsia="方正书宋_GBK"/>
                <w:color w:val="auto"/>
                <w:kern w:val="0"/>
                <w:szCs w:val="21"/>
                <w:lang w:val="en-US" w:eastAsia="zh-CN"/>
              </w:rPr>
              <w:t>1</w:t>
            </w:r>
          </w:p>
        </w:tc>
        <w:tc>
          <w:tcPr>
            <w:tcW w:w="226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lang w:val="en-US" w:eastAsia="zh-CN"/>
              </w:rPr>
            </w:pPr>
            <w:r>
              <w:rPr>
                <w:rFonts w:hint="eastAsia" w:ascii="方正书宋_GBK" w:hAnsi="Times New Roman" w:eastAsia="方正书宋_GBK"/>
                <w:color w:val="auto"/>
                <w:kern w:val="0"/>
                <w:szCs w:val="21"/>
                <w:lang w:val="en-US" w:eastAsia="zh-CN"/>
              </w:rPr>
              <w:t>0</w:t>
            </w:r>
          </w:p>
        </w:tc>
        <w:tc>
          <w:tcPr>
            <w:tcW w:w="226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方正书宋_GBK" w:hAnsi="Times New Roman" w:eastAsia="方正书宋_GBK"/>
                <w:color w:val="auto"/>
                <w:kern w:val="0"/>
                <w:szCs w:val="21"/>
                <w:lang w:val="en-US" w:eastAsia="zh-CN"/>
              </w:rPr>
            </w:pPr>
            <w:r>
              <w:rPr>
                <w:rFonts w:hint="eastAsia" w:ascii="方正书宋_GBK" w:hAnsi="Times New Roman" w:eastAsia="方正书宋_GBK"/>
                <w:color w:val="auto"/>
                <w:kern w:val="0"/>
                <w:szCs w:val="21"/>
                <w:lang w:val="en-US" w:eastAsia="zh-CN"/>
              </w:rPr>
              <w:t>4</w:t>
            </w:r>
          </w:p>
        </w:tc>
      </w:tr>
      <w:tr>
        <w:tblPrEx>
          <w:tblCellMar>
            <w:top w:w="28" w:type="dxa"/>
            <w:left w:w="28" w:type="dxa"/>
            <w:bottom w:w="28" w:type="dxa"/>
            <w:right w:w="28" w:type="dxa"/>
          </w:tblCellMar>
        </w:tblPrEx>
        <w:trPr>
          <w:trHeight w:val="397" w:hRule="atLeast"/>
        </w:trPr>
        <w:tc>
          <w:tcPr>
            <w:tcW w:w="9072" w:type="dxa"/>
            <w:gridSpan w:val="4"/>
            <w:tcBorders>
              <w:top w:val="nil"/>
              <w:left w:val="single" w:color="auto" w:sz="8" w:space="0"/>
              <w:bottom w:val="single" w:color="auto" w:sz="8" w:space="0"/>
              <w:right w:val="single" w:color="auto" w:sz="8" w:space="0"/>
            </w:tcBorders>
            <w:shd w:val="clear" w:color="auto" w:fill="C7DAF1" w:themeFill="text2" w:themeFillTint="3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黑体_GBK" w:hAnsi="Times New Roman" w:eastAsia="方正黑体_GBK"/>
                <w:color w:val="auto"/>
                <w:kern w:val="0"/>
                <w:szCs w:val="21"/>
              </w:rPr>
            </w:pPr>
            <w:r>
              <w:rPr>
                <w:rFonts w:hint="eastAsia" w:ascii="黑体" w:hAnsi="黑体" w:eastAsia="黑体" w:cs="黑体"/>
                <w:color w:val="auto"/>
                <w:kern w:val="0"/>
                <w:szCs w:val="21"/>
              </w:rPr>
              <w:t>第二十条第（五）项</w:t>
            </w:r>
          </w:p>
        </w:tc>
      </w:tr>
      <w:tr>
        <w:tblPrEx>
          <w:tblCellMar>
            <w:top w:w="28" w:type="dxa"/>
            <w:left w:w="28" w:type="dxa"/>
            <w:bottom w:w="28" w:type="dxa"/>
            <w:right w:w="28" w:type="dxa"/>
          </w:tblCellMar>
        </w:tblPrEx>
        <w:trPr>
          <w:trHeight w:val="692" w:hRule="atLeast"/>
        </w:trPr>
        <w:tc>
          <w:tcPr>
            <w:tcW w:w="2268"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信息内容</w:t>
            </w:r>
          </w:p>
        </w:tc>
        <w:tc>
          <w:tcPr>
            <w:tcW w:w="6804"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本年处理决定数量</w:t>
            </w:r>
          </w:p>
        </w:tc>
      </w:tr>
      <w:tr>
        <w:tblPrEx>
          <w:tblCellMar>
            <w:top w:w="28" w:type="dxa"/>
            <w:left w:w="28" w:type="dxa"/>
            <w:bottom w:w="28" w:type="dxa"/>
            <w:right w:w="28" w:type="dxa"/>
          </w:tblCellMar>
        </w:tblPrEx>
        <w:trPr>
          <w:trHeight w:val="90" w:hRule="atLeast"/>
        </w:trPr>
        <w:tc>
          <w:tcPr>
            <w:tcW w:w="2268"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行政许可</w:t>
            </w:r>
          </w:p>
        </w:tc>
        <w:tc>
          <w:tcPr>
            <w:tcW w:w="6804"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方正书宋_GBK" w:hAnsi="Times New Roman" w:eastAsia="方正书宋_GBK"/>
                <w:color w:val="auto"/>
                <w:kern w:val="0"/>
                <w:szCs w:val="21"/>
                <w:lang w:val="en-US" w:eastAsia="zh-CN"/>
              </w:rPr>
            </w:pPr>
            <w:r>
              <w:rPr>
                <w:rFonts w:hint="eastAsia" w:ascii="方正书宋_GBK" w:hAnsi="Times New Roman" w:eastAsia="方正书宋_GBK"/>
                <w:color w:val="auto"/>
                <w:kern w:val="0"/>
                <w:szCs w:val="21"/>
                <w:lang w:val="en-US" w:eastAsia="zh-CN"/>
              </w:rPr>
              <w:t>21</w:t>
            </w:r>
          </w:p>
        </w:tc>
      </w:tr>
      <w:tr>
        <w:tblPrEx>
          <w:tblCellMar>
            <w:top w:w="28" w:type="dxa"/>
            <w:left w:w="28" w:type="dxa"/>
            <w:bottom w:w="28" w:type="dxa"/>
            <w:right w:w="28" w:type="dxa"/>
          </w:tblCellMar>
        </w:tblPrEx>
        <w:trPr>
          <w:trHeight w:val="397" w:hRule="atLeast"/>
        </w:trPr>
        <w:tc>
          <w:tcPr>
            <w:tcW w:w="9072" w:type="dxa"/>
            <w:gridSpan w:val="4"/>
            <w:tcBorders>
              <w:top w:val="single" w:color="auto" w:sz="8" w:space="0"/>
              <w:left w:val="single" w:color="auto" w:sz="8" w:space="0"/>
              <w:bottom w:val="single" w:color="auto" w:sz="8" w:space="0"/>
              <w:right w:val="single" w:color="auto" w:sz="8" w:space="0"/>
            </w:tcBorders>
            <w:shd w:val="clear" w:color="auto" w:fill="C7DAF1" w:themeFill="text2" w:themeFillTint="3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黑体_GBK" w:hAnsi="Times New Roman" w:eastAsia="方正黑体_GBK"/>
                <w:color w:val="auto"/>
                <w:kern w:val="0"/>
                <w:szCs w:val="21"/>
                <w:lang w:eastAsia="zh-CN"/>
              </w:rPr>
            </w:pPr>
            <w:r>
              <w:rPr>
                <w:rFonts w:hint="eastAsia" w:ascii="黑体" w:hAnsi="黑体" w:eastAsia="黑体" w:cs="黑体"/>
                <w:color w:val="auto"/>
                <w:kern w:val="0"/>
                <w:szCs w:val="21"/>
              </w:rPr>
              <w:t>第二十条第（六）项</w:t>
            </w:r>
          </w:p>
        </w:tc>
      </w:tr>
      <w:tr>
        <w:tblPrEx>
          <w:tblCellMar>
            <w:top w:w="28" w:type="dxa"/>
            <w:left w:w="28" w:type="dxa"/>
            <w:bottom w:w="28" w:type="dxa"/>
            <w:right w:w="28" w:type="dxa"/>
          </w:tblCellMar>
        </w:tblPrEx>
        <w:trPr>
          <w:trHeight w:val="397" w:hRule="atLeast"/>
        </w:trPr>
        <w:tc>
          <w:tcPr>
            <w:tcW w:w="2268" w:type="dxa"/>
            <w:tcBorders>
              <w:top w:val="single" w:color="auto" w:sz="8" w:space="0"/>
              <w:left w:val="single" w:color="auto" w:sz="8"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信息内容</w:t>
            </w:r>
          </w:p>
        </w:tc>
        <w:tc>
          <w:tcPr>
            <w:tcW w:w="6804" w:type="dxa"/>
            <w:gridSpan w:val="3"/>
            <w:tcBorders>
              <w:top w:val="single" w:color="auto" w:sz="8" w:space="0"/>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本年处理决定数量</w:t>
            </w:r>
          </w:p>
        </w:tc>
      </w:tr>
      <w:tr>
        <w:tblPrEx>
          <w:tblCellMar>
            <w:top w:w="28" w:type="dxa"/>
            <w:left w:w="28" w:type="dxa"/>
            <w:bottom w:w="28" w:type="dxa"/>
            <w:right w:w="28" w:type="dxa"/>
          </w:tblCellMar>
        </w:tblPrEx>
        <w:trPr>
          <w:trHeight w:val="492" w:hRule="atLeast"/>
        </w:trPr>
        <w:tc>
          <w:tcPr>
            <w:tcW w:w="226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行政处罚</w:t>
            </w:r>
          </w:p>
        </w:tc>
        <w:tc>
          <w:tcPr>
            <w:tcW w:w="6804" w:type="dxa"/>
            <w:gridSpan w:val="3"/>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lang w:val="en-US" w:eastAsia="zh-CN"/>
              </w:rPr>
            </w:pPr>
            <w:r>
              <w:rPr>
                <w:rFonts w:hint="eastAsia" w:ascii="方正书宋_GBK" w:hAnsi="Times New Roman" w:eastAsia="方正书宋_GBK"/>
                <w:color w:val="auto"/>
                <w:kern w:val="0"/>
                <w:szCs w:val="21"/>
                <w:lang w:val="en-US" w:eastAsia="zh-CN"/>
              </w:rPr>
              <w:t>0</w:t>
            </w:r>
          </w:p>
        </w:tc>
      </w:tr>
      <w:tr>
        <w:tblPrEx>
          <w:tblCellMar>
            <w:top w:w="28" w:type="dxa"/>
            <w:left w:w="28" w:type="dxa"/>
            <w:bottom w:w="28" w:type="dxa"/>
            <w:right w:w="28" w:type="dxa"/>
          </w:tblCellMar>
        </w:tblPrEx>
        <w:trPr>
          <w:trHeight w:val="528" w:hRule="atLeast"/>
        </w:trPr>
        <w:tc>
          <w:tcPr>
            <w:tcW w:w="2268" w:type="dxa"/>
            <w:tcBorders>
              <w:top w:val="single" w:color="000000" w:sz="8" w:space="0"/>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行政强制</w:t>
            </w:r>
          </w:p>
        </w:tc>
        <w:tc>
          <w:tcPr>
            <w:tcW w:w="6804" w:type="dxa"/>
            <w:gridSpan w:val="3"/>
            <w:tcBorders>
              <w:top w:val="single" w:color="000000"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lang w:eastAsia="zh-CN"/>
              </w:rPr>
            </w:pPr>
            <w:r>
              <w:rPr>
                <w:rFonts w:hint="eastAsia" w:ascii="方正书宋_GBK" w:hAnsi="Times New Roman" w:eastAsia="方正书宋_GBK"/>
                <w:color w:val="auto"/>
                <w:kern w:val="0"/>
                <w:szCs w:val="21"/>
                <w:lang w:val="en-US" w:eastAsia="zh-CN"/>
              </w:rPr>
              <w:t>0</w:t>
            </w:r>
          </w:p>
        </w:tc>
      </w:tr>
      <w:tr>
        <w:tblPrEx>
          <w:tblCellMar>
            <w:top w:w="28" w:type="dxa"/>
            <w:left w:w="28" w:type="dxa"/>
            <w:bottom w:w="28" w:type="dxa"/>
            <w:right w:w="28" w:type="dxa"/>
          </w:tblCellMar>
        </w:tblPrEx>
        <w:trPr>
          <w:trHeight w:val="397" w:hRule="atLeast"/>
        </w:trPr>
        <w:tc>
          <w:tcPr>
            <w:tcW w:w="9072" w:type="dxa"/>
            <w:gridSpan w:val="4"/>
            <w:tcBorders>
              <w:top w:val="nil"/>
              <w:left w:val="single" w:color="auto" w:sz="8" w:space="0"/>
              <w:bottom w:val="single" w:color="auto" w:sz="8" w:space="0"/>
              <w:right w:val="single" w:color="auto" w:sz="8" w:space="0"/>
            </w:tcBorders>
            <w:shd w:val="clear" w:color="auto" w:fill="C7DAF1" w:themeFill="text2" w:themeFillTint="32"/>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黑体_GBK" w:hAnsi="Times New Roman" w:eastAsia="方正黑体_GBK"/>
                <w:color w:val="auto"/>
                <w:kern w:val="0"/>
                <w:szCs w:val="21"/>
                <w:lang w:eastAsia="zh-CN"/>
              </w:rPr>
            </w:pPr>
            <w:r>
              <w:rPr>
                <w:rFonts w:hint="eastAsia" w:ascii="黑体" w:hAnsi="黑体" w:eastAsia="黑体" w:cs="黑体"/>
                <w:color w:val="auto"/>
                <w:kern w:val="0"/>
                <w:szCs w:val="21"/>
              </w:rPr>
              <w:t>第二十条第（八）项</w:t>
            </w:r>
          </w:p>
        </w:tc>
      </w:tr>
      <w:tr>
        <w:tblPrEx>
          <w:tblCellMar>
            <w:top w:w="28" w:type="dxa"/>
            <w:left w:w="28" w:type="dxa"/>
            <w:bottom w:w="28" w:type="dxa"/>
            <w:right w:w="28" w:type="dxa"/>
          </w:tblCellMar>
        </w:tblPrEx>
        <w:trPr>
          <w:trHeight w:val="397" w:hRule="atLeast"/>
        </w:trPr>
        <w:tc>
          <w:tcPr>
            <w:tcW w:w="2268"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信息内容</w:t>
            </w:r>
          </w:p>
        </w:tc>
        <w:tc>
          <w:tcPr>
            <w:tcW w:w="6804"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本年收费金额（单位：万元）</w:t>
            </w:r>
          </w:p>
        </w:tc>
      </w:tr>
      <w:tr>
        <w:tblPrEx>
          <w:tblCellMar>
            <w:top w:w="28" w:type="dxa"/>
            <w:left w:w="28" w:type="dxa"/>
            <w:bottom w:w="28" w:type="dxa"/>
            <w:right w:w="28" w:type="dxa"/>
          </w:tblCellMar>
        </w:tblPrEx>
        <w:trPr>
          <w:trHeight w:val="397" w:hRule="atLeast"/>
        </w:trPr>
        <w:tc>
          <w:tcPr>
            <w:tcW w:w="2268"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rPr>
            </w:pPr>
            <w:r>
              <w:rPr>
                <w:rFonts w:hint="eastAsia" w:ascii="方正书宋_GBK" w:hAnsi="Times New Roman" w:eastAsia="方正书宋_GBK"/>
                <w:color w:val="auto"/>
                <w:kern w:val="0"/>
                <w:szCs w:val="21"/>
              </w:rPr>
              <w:t>行政事业性收费</w:t>
            </w:r>
          </w:p>
        </w:tc>
        <w:tc>
          <w:tcPr>
            <w:tcW w:w="6804"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方正书宋_GBK" w:hAnsi="Times New Roman" w:eastAsia="方正书宋_GBK"/>
                <w:color w:val="auto"/>
                <w:kern w:val="0"/>
                <w:szCs w:val="21"/>
                <w:lang w:eastAsia="zh-CN"/>
              </w:rPr>
            </w:pPr>
            <w:r>
              <w:rPr>
                <w:rFonts w:hint="eastAsia" w:ascii="方正书宋_GBK" w:hAnsi="Times New Roman" w:eastAsia="方正书宋_GBK"/>
                <w:color w:val="auto"/>
                <w:kern w:val="0"/>
                <w:szCs w:val="21"/>
                <w:lang w:val="en-US" w:eastAsia="zh-CN"/>
              </w:rPr>
              <w:t>0</w:t>
            </w:r>
          </w:p>
        </w:tc>
      </w:tr>
    </w:tbl>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三、收到和处理政府信息公开申请情况</w:t>
      </w:r>
    </w:p>
    <w:tbl>
      <w:tblPr>
        <w:tblStyle w:val="15"/>
        <w:tblW w:w="9072" w:type="dxa"/>
        <w:jc w:val="center"/>
        <w:tblLayout w:type="fixed"/>
        <w:tblCellMar>
          <w:top w:w="28" w:type="dxa"/>
          <w:left w:w="28" w:type="dxa"/>
          <w:bottom w:w="28" w:type="dxa"/>
          <w:right w:w="28" w:type="dxa"/>
        </w:tblCellMar>
      </w:tblPr>
      <w:tblGrid>
        <w:gridCol w:w="1021"/>
        <w:gridCol w:w="954"/>
        <w:gridCol w:w="2910"/>
        <w:gridCol w:w="688"/>
        <w:gridCol w:w="643"/>
        <w:gridCol w:w="714"/>
        <w:gridCol w:w="658"/>
        <w:gridCol w:w="616"/>
        <w:gridCol w:w="420"/>
        <w:gridCol w:w="448"/>
      </w:tblGrid>
      <w:tr>
        <w:tblPrEx>
          <w:tblCellMar>
            <w:top w:w="28" w:type="dxa"/>
            <w:left w:w="28" w:type="dxa"/>
            <w:bottom w:w="28" w:type="dxa"/>
            <w:right w:w="28" w:type="dxa"/>
          </w:tblCellMar>
        </w:tblPrEx>
        <w:trPr>
          <w:trHeight w:val="397" w:hRule="atLeast"/>
          <w:tblHeader/>
          <w:jc w:val="center"/>
        </w:trPr>
        <w:tc>
          <w:tcPr>
            <w:tcW w:w="4885"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（本列数据的勾稽关系为：第一项加第二项之和，等于第三项加第四项之和）</w:t>
            </w:r>
          </w:p>
        </w:tc>
        <w:tc>
          <w:tcPr>
            <w:tcW w:w="4187" w:type="dxa"/>
            <w:gridSpan w:val="7"/>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申请人情况</w:t>
            </w:r>
          </w:p>
        </w:tc>
      </w:tr>
      <w:tr>
        <w:tblPrEx>
          <w:tblCellMar>
            <w:top w:w="28" w:type="dxa"/>
            <w:left w:w="28" w:type="dxa"/>
            <w:bottom w:w="28" w:type="dxa"/>
            <w:right w:w="28" w:type="dxa"/>
          </w:tblCellMar>
        </w:tblPrEx>
        <w:trPr>
          <w:trHeight w:val="495" w:hRule="atLeast"/>
          <w:tblHeader/>
          <w:jc w:val="center"/>
        </w:trPr>
        <w:tc>
          <w:tcPr>
            <w:tcW w:w="4885"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黑体" w:hAnsi="黑体" w:eastAsia="黑体" w:cs="黑体"/>
                <w:color w:val="000000"/>
                <w:kern w:val="0"/>
                <w:szCs w:val="21"/>
              </w:rPr>
            </w:pPr>
          </w:p>
        </w:tc>
        <w:tc>
          <w:tcPr>
            <w:tcW w:w="688" w:type="dxa"/>
            <w:vMerge w:val="restart"/>
            <w:tcBorders>
              <w:top w:val="single" w:color="auto" w:sz="0"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自然人</w:t>
            </w:r>
          </w:p>
        </w:tc>
        <w:tc>
          <w:tcPr>
            <w:tcW w:w="3051" w:type="dxa"/>
            <w:gridSpan w:val="5"/>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法人或其他组织</w:t>
            </w:r>
          </w:p>
        </w:tc>
        <w:tc>
          <w:tcPr>
            <w:tcW w:w="448" w:type="dxa"/>
            <w:vMerge w:val="restart"/>
            <w:tcBorders>
              <w:top w:val="single" w:color="auto" w:sz="8" w:space="0"/>
              <w:left w:val="single" w:color="auto" w:sz="0"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总计</w:t>
            </w:r>
          </w:p>
        </w:tc>
      </w:tr>
      <w:tr>
        <w:tblPrEx>
          <w:tblCellMar>
            <w:top w:w="28" w:type="dxa"/>
            <w:left w:w="28" w:type="dxa"/>
            <w:bottom w:w="28" w:type="dxa"/>
            <w:right w:w="28" w:type="dxa"/>
          </w:tblCellMar>
        </w:tblPrEx>
        <w:trPr>
          <w:trHeight w:val="397" w:hRule="atLeast"/>
          <w:tblHeader/>
          <w:jc w:val="center"/>
        </w:trPr>
        <w:tc>
          <w:tcPr>
            <w:tcW w:w="4885"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黑体" w:hAnsi="黑体" w:eastAsia="黑体" w:cs="黑体"/>
                <w:color w:val="000000"/>
                <w:kern w:val="0"/>
                <w:szCs w:val="21"/>
              </w:rPr>
            </w:pPr>
          </w:p>
        </w:tc>
        <w:tc>
          <w:tcPr>
            <w:tcW w:w="688" w:type="dxa"/>
            <w:vMerge w:val="continue"/>
            <w:tcBorders>
              <w:top w:val="single" w:color="auto" w:sz="0" w:space="0"/>
              <w:left w:val="single" w:color="auto" w:sz="0"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p>
        </w:tc>
        <w:tc>
          <w:tcPr>
            <w:tcW w:w="643" w:type="dxa"/>
            <w:tcBorders>
              <w:top w:val="single" w:color="auto" w:sz="0"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商业</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企业</w:t>
            </w:r>
          </w:p>
        </w:tc>
        <w:tc>
          <w:tcPr>
            <w:tcW w:w="714" w:type="dxa"/>
            <w:tcBorders>
              <w:top w:val="single" w:color="auto" w:sz="0"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科研</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机构</w:t>
            </w:r>
          </w:p>
        </w:tc>
        <w:tc>
          <w:tcPr>
            <w:tcW w:w="658" w:type="dxa"/>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社会公益组织</w:t>
            </w:r>
          </w:p>
        </w:tc>
        <w:tc>
          <w:tcPr>
            <w:tcW w:w="616" w:type="dxa"/>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法律服务机构</w:t>
            </w:r>
          </w:p>
        </w:tc>
        <w:tc>
          <w:tcPr>
            <w:tcW w:w="420" w:type="dxa"/>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其他</w:t>
            </w:r>
          </w:p>
        </w:tc>
        <w:tc>
          <w:tcPr>
            <w:tcW w:w="448" w:type="dxa"/>
            <w:vMerge w:val="continue"/>
            <w:tcBorders>
              <w:top w:val="single" w:color="auto" w:sz="8" w:space="0"/>
              <w:left w:val="single" w:color="auto" w:sz="0" w:space="0"/>
              <w:bottom w:val="inset" w:color="auto"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方正黑体_GBK" w:hAnsi="Times New Roman" w:eastAsia="方正黑体_GBK"/>
                <w:color w:val="000000"/>
                <w:kern w:val="0"/>
                <w:szCs w:val="21"/>
              </w:rPr>
            </w:pPr>
          </w:p>
        </w:tc>
      </w:tr>
      <w:tr>
        <w:tblPrEx>
          <w:tblCellMar>
            <w:top w:w="28" w:type="dxa"/>
            <w:left w:w="28" w:type="dxa"/>
            <w:bottom w:w="28" w:type="dxa"/>
            <w:right w:w="28" w:type="dxa"/>
          </w:tblCellMar>
        </w:tblPrEx>
        <w:trPr>
          <w:trHeight w:val="397" w:hRule="atLeast"/>
          <w:jc w:val="center"/>
        </w:trPr>
        <w:tc>
          <w:tcPr>
            <w:tcW w:w="4885" w:type="dxa"/>
            <w:gridSpan w:val="3"/>
            <w:tcBorders>
              <w:top w:val="nil"/>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12</w:t>
            </w:r>
          </w:p>
        </w:tc>
        <w:tc>
          <w:tcPr>
            <w:tcW w:w="64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3</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15</w:t>
            </w:r>
          </w:p>
        </w:tc>
      </w:tr>
      <w:tr>
        <w:tblPrEx>
          <w:tblCellMar>
            <w:top w:w="28" w:type="dxa"/>
            <w:left w:w="28" w:type="dxa"/>
            <w:bottom w:w="28" w:type="dxa"/>
            <w:right w:w="28" w:type="dxa"/>
          </w:tblCellMar>
        </w:tblPrEx>
        <w:trPr>
          <w:trHeight w:val="397" w:hRule="atLeast"/>
          <w:jc w:val="center"/>
        </w:trPr>
        <w:tc>
          <w:tcPr>
            <w:tcW w:w="4885" w:type="dxa"/>
            <w:gridSpan w:val="3"/>
            <w:tcBorders>
              <w:top w:val="nil"/>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c>
          <w:tcPr>
            <w:tcW w:w="64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0</w:t>
            </w:r>
          </w:p>
        </w:tc>
      </w:tr>
      <w:tr>
        <w:tblPrEx>
          <w:tblCellMar>
            <w:top w:w="28" w:type="dxa"/>
            <w:left w:w="28" w:type="dxa"/>
            <w:bottom w:w="28" w:type="dxa"/>
            <w:right w:w="28" w:type="dxa"/>
          </w:tblCellMar>
        </w:tblPrEx>
        <w:trPr>
          <w:trHeight w:val="397" w:hRule="atLeast"/>
          <w:jc w:val="center"/>
        </w:trPr>
        <w:tc>
          <w:tcPr>
            <w:tcW w:w="10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三、本年度办理结果</w:t>
            </w:r>
          </w:p>
        </w:tc>
        <w:tc>
          <w:tcPr>
            <w:tcW w:w="3864" w:type="dxa"/>
            <w:gridSpan w:val="2"/>
            <w:tcBorders>
              <w:top w:val="nil"/>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1</w:t>
            </w:r>
          </w:p>
        </w:tc>
        <w:tc>
          <w:tcPr>
            <w:tcW w:w="643"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1</w:t>
            </w:r>
          </w:p>
        </w:tc>
      </w:tr>
      <w:tr>
        <w:tblPrEx>
          <w:tblCellMar>
            <w:top w:w="28" w:type="dxa"/>
            <w:left w:w="28" w:type="dxa"/>
            <w:bottom w:w="28" w:type="dxa"/>
            <w:right w:w="28" w:type="dxa"/>
          </w:tblCellMar>
        </w:tblPrEx>
        <w:trPr>
          <w:trHeight w:val="397" w:hRule="atLeast"/>
          <w:jc w:val="center"/>
        </w:trPr>
        <w:tc>
          <w:tcPr>
            <w:tcW w:w="1021" w:type="dxa"/>
            <w:vMerge w:val="continue"/>
            <w:tcBorders>
              <w:top w:val="single" w:color="auto" w:sz="4" w:space="0"/>
              <w:left w:val="single" w:color="auto" w:sz="4" w:space="0"/>
              <w:bottom w:val="single" w:color="000000" w:sz="8"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3864" w:type="dxa"/>
            <w:gridSpan w:val="2"/>
            <w:tcBorders>
              <w:top w:val="nil"/>
              <w:left w:val="single" w:color="auto" w:sz="4" w:space="0"/>
              <w:bottom w:val="single" w:color="000000"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（二）部分公开（区分处理的，只计这一情形，不计其他情形）</w:t>
            </w:r>
          </w:p>
        </w:tc>
        <w:tc>
          <w:tcPr>
            <w:tcW w:w="688"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c>
          <w:tcPr>
            <w:tcW w:w="643"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restart"/>
            <w:tcBorders>
              <w:top w:val="single" w:color="000000" w:sz="8" w:space="0"/>
              <w:left w:val="single" w:color="000000"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三、本年度办理结果</w:t>
            </w:r>
          </w:p>
        </w:tc>
        <w:tc>
          <w:tcPr>
            <w:tcW w:w="954" w:type="dxa"/>
            <w:vMerge w:val="restart"/>
            <w:tcBorders>
              <w:top w:val="single" w:color="000000" w:sz="8" w:space="0"/>
              <w:left w:val="single" w:color="auto" w:sz="0" w:space="0"/>
              <w:bottom w:val="inset" w:color="auto"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（三）不予公开</w:t>
            </w: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1.属于国家秘密</w:t>
            </w:r>
          </w:p>
        </w:tc>
        <w:tc>
          <w:tcPr>
            <w:tcW w:w="688" w:type="dxa"/>
            <w:tcBorders>
              <w:top w:val="single" w:color="000000" w:sz="8" w:space="0"/>
              <w:left w:val="single" w:color="000000"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auto" w:sz="0"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auto" w:sz="0" w:space="0"/>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left w:val="single" w:color="000000" w:sz="8" w:space="0"/>
              <w:bottom w:val="single" w:color="000000"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auto" w:sz="0" w:space="0"/>
              <w:left w:val="single" w:color="auto" w:sz="0" w:space="0"/>
              <w:bottom w:val="single" w:color="000000"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2.其他法律行政法规禁止公开</w:t>
            </w:r>
          </w:p>
        </w:tc>
        <w:tc>
          <w:tcPr>
            <w:tcW w:w="688"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nil"/>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nil"/>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auto" w:sz="0"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auto" w:sz="0"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auto" w:sz="0"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auto" w:sz="0" w:space="0"/>
              <w:left w:val="single" w:color="auto" w:sz="0"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auto" w:sz="0" w:space="0"/>
              <w:bottom w:val="single" w:color="000000"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3.危及“三安全一稳定”</w:t>
            </w:r>
          </w:p>
        </w:tc>
        <w:tc>
          <w:tcPr>
            <w:tcW w:w="688" w:type="dxa"/>
            <w:tcBorders>
              <w:top w:val="single" w:color="000000" w:sz="8" w:space="0"/>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auto" w:sz="0"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4.保护第三方合法权益</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5.属于三类内部事务信息</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6.属于四类过程性信息</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7.属于行政执法案卷</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8.属于行政查询事项</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restart"/>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（四）无法提供</w:t>
            </w: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1.本机关不掌握相关政府信息</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Times New Roman" w:eastAsia="方正书宋_GBK"/>
                <w:color w:val="000000"/>
                <w:kern w:val="0"/>
                <w:szCs w:val="21"/>
                <w:lang w:val="en-US" w:eastAsia="zh-CN"/>
              </w:rPr>
              <w:t>11</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方正书宋_GBK" w:eastAsia="方正书宋_GBK" w:cs="方正书宋_GBK"/>
                <w:i w:val="0"/>
                <w:color w:val="000000"/>
                <w:kern w:val="0"/>
                <w:sz w:val="21"/>
                <w:szCs w:val="21"/>
                <w:u w:val="none"/>
                <w:lang w:val="en-US" w:eastAsia="zh-CN" w:bidi="ar"/>
              </w:rPr>
              <w:t>3</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14</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2.没有现成信息需要另行制作</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3.补正后申请内容仍不明确</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restart"/>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（五）不予处理</w:t>
            </w: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1.信访举报投诉类申请</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425"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2.重复申请</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656"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3.要求提供公开出版物</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704"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4.无正当理由大量反复申请</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1144"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5.要求行政机关确认或重新出具已获取信息</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1860" w:hRule="atLeast"/>
          <w:jc w:val="center"/>
        </w:trPr>
        <w:tc>
          <w:tcPr>
            <w:tcW w:w="1021" w:type="dxa"/>
            <w:vMerge w:val="continue"/>
            <w:tcBorders>
              <w:top w:val="single" w:color="000000" w:sz="8" w:space="0"/>
              <w:left w:val="single" w:color="000000" w:sz="8" w:space="0"/>
              <w:bottom w:val="single" w:color="000000" w:sz="8" w:space="0"/>
              <w:right w:val="single" w:color="auto"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restart"/>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（六）其他处理</w:t>
            </w:r>
          </w:p>
        </w:tc>
        <w:tc>
          <w:tcPr>
            <w:tcW w:w="2910"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1.申请人无正当理由逾期不补正、行政机关不再处理其政府信息公开申请</w:t>
            </w:r>
          </w:p>
        </w:tc>
        <w:tc>
          <w:tcPr>
            <w:tcW w:w="688" w:type="dxa"/>
            <w:tcBorders>
              <w:top w:val="single" w:color="000000" w:sz="8" w:space="0"/>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nil"/>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auto" w:sz="0" w:space="0"/>
              <w:bottom w:val="single" w:color="000000" w:sz="8" w:space="0"/>
              <w:right w:val="single" w:color="auto"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1608"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2.申请人逾期未按收费通知要求缴纳费用、行政机关不再处理其政府信息公开申请</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680"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95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291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3.其他</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rPr>
            </w:pPr>
            <w:r>
              <w:rPr>
                <w:rFonts w:hint="default" w:ascii="方正书宋_GBK" w:hAnsi="方正书宋_GBK" w:eastAsia="方正书宋_GBK" w:cs="方正书宋_GBK"/>
                <w:i w:val="0"/>
                <w:color w:val="000000"/>
                <w:kern w:val="0"/>
                <w:sz w:val="21"/>
                <w:szCs w:val="21"/>
                <w:u w:val="none"/>
                <w:lang w:val="en-US" w:eastAsia="zh-CN" w:bidi="ar"/>
              </w:rPr>
              <w:t>0</w:t>
            </w:r>
          </w:p>
        </w:tc>
      </w:tr>
      <w:tr>
        <w:tblPrEx>
          <w:tblCellMar>
            <w:top w:w="28" w:type="dxa"/>
            <w:left w:w="28" w:type="dxa"/>
            <w:bottom w:w="28" w:type="dxa"/>
            <w:right w:w="28" w:type="dxa"/>
          </w:tblCellMar>
        </w:tblPrEx>
        <w:trPr>
          <w:trHeight w:val="776" w:hRule="atLeast"/>
          <w:jc w:val="center"/>
        </w:trPr>
        <w:tc>
          <w:tcPr>
            <w:tcW w:w="1021"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p>
        </w:tc>
        <w:tc>
          <w:tcPr>
            <w:tcW w:w="3864"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（七）总计</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12</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3</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default"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15</w:t>
            </w:r>
          </w:p>
        </w:tc>
      </w:tr>
      <w:tr>
        <w:tblPrEx>
          <w:tblCellMar>
            <w:top w:w="28" w:type="dxa"/>
            <w:left w:w="28" w:type="dxa"/>
            <w:bottom w:w="28" w:type="dxa"/>
            <w:right w:w="28" w:type="dxa"/>
          </w:tblCellMar>
        </w:tblPrEx>
        <w:trPr>
          <w:trHeight w:val="784" w:hRule="atLeast"/>
          <w:jc w:val="center"/>
        </w:trPr>
        <w:tc>
          <w:tcPr>
            <w:tcW w:w="488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rPr>
              <w:t>四、结转下年度继续办理</w:t>
            </w:r>
          </w:p>
        </w:tc>
        <w:tc>
          <w:tcPr>
            <w:tcW w:w="68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c>
          <w:tcPr>
            <w:tcW w:w="643"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714"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5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616"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20"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default" w:ascii="方正书宋_GBK" w:hAnsi="方正书宋_GBK" w:eastAsia="方正书宋_GBK" w:cs="方正书宋_GBK"/>
                <w:i w:val="0"/>
                <w:color w:val="000000"/>
                <w:kern w:val="0"/>
                <w:sz w:val="21"/>
                <w:szCs w:val="21"/>
                <w:u w:val="none"/>
                <w:lang w:val="en-US" w:eastAsia="zh-CN" w:bidi="ar"/>
              </w:rPr>
              <w:t>0</w:t>
            </w:r>
          </w:p>
        </w:tc>
        <w:tc>
          <w:tcPr>
            <w:tcW w:w="448" w:type="dxa"/>
            <w:tcBorders>
              <w:top w:val="single" w:color="000000" w:sz="8" w:space="0"/>
              <w:left w:val="single" w:color="000000" w:sz="8" w:space="0"/>
              <w:bottom w:val="single" w:color="000000" w:sz="8" w:space="0"/>
              <w:right w:val="single" w:color="000000" w:sz="8" w:space="0"/>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方正书宋_GBK" w:hAnsi="Times New Roman" w:eastAsia="方正书宋_GBK"/>
                <w:color w:val="000000"/>
                <w:kern w:val="0"/>
                <w:szCs w:val="21"/>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0</w:t>
            </w:r>
          </w:p>
        </w:tc>
      </w:tr>
    </w:tbl>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四、政府信息公开行政复议、行政诉讼情况</w:t>
      </w:r>
    </w:p>
    <w:tbl>
      <w:tblPr>
        <w:tblStyle w:val="15"/>
        <w:tblW w:w="9072" w:type="dxa"/>
        <w:jc w:val="center"/>
        <w:tblLayout w:type="fixed"/>
        <w:tblCellMar>
          <w:top w:w="28" w:type="dxa"/>
          <w:left w:w="28" w:type="dxa"/>
          <w:bottom w:w="28" w:type="dxa"/>
          <w:right w:w="28" w:type="dxa"/>
        </w:tblCellMar>
      </w:tblPr>
      <w:tblGrid>
        <w:gridCol w:w="605"/>
        <w:gridCol w:w="605"/>
        <w:gridCol w:w="605"/>
        <w:gridCol w:w="605"/>
        <w:gridCol w:w="604"/>
        <w:gridCol w:w="604"/>
        <w:gridCol w:w="604"/>
        <w:gridCol w:w="605"/>
        <w:gridCol w:w="605"/>
        <w:gridCol w:w="605"/>
        <w:gridCol w:w="605"/>
        <w:gridCol w:w="605"/>
        <w:gridCol w:w="605"/>
        <w:gridCol w:w="605"/>
        <w:gridCol w:w="605"/>
      </w:tblGrid>
      <w:tr>
        <w:tblPrEx>
          <w:tblCellMar>
            <w:top w:w="28" w:type="dxa"/>
            <w:left w:w="28" w:type="dxa"/>
            <w:bottom w:w="28" w:type="dxa"/>
            <w:right w:w="28" w:type="dxa"/>
          </w:tblCellMar>
        </w:tblPrEx>
        <w:trPr>
          <w:trHeight w:val="397" w:hRule="atLeast"/>
          <w:jc w:val="center"/>
        </w:trPr>
        <w:tc>
          <w:tcPr>
            <w:tcW w:w="3024" w:type="dxa"/>
            <w:gridSpan w:val="5"/>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行政复议</w:t>
            </w:r>
          </w:p>
        </w:tc>
        <w:tc>
          <w:tcPr>
            <w:tcW w:w="6048" w:type="dxa"/>
            <w:gridSpan w:val="10"/>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行政诉讼</w:t>
            </w:r>
          </w:p>
        </w:tc>
      </w:tr>
      <w:tr>
        <w:tblPrEx>
          <w:tblCellMar>
            <w:top w:w="28" w:type="dxa"/>
            <w:left w:w="28" w:type="dxa"/>
            <w:bottom w:w="28" w:type="dxa"/>
            <w:right w:w="28" w:type="dxa"/>
          </w:tblCellMar>
        </w:tblPrEx>
        <w:trPr>
          <w:trHeight w:val="397" w:hRule="atLeast"/>
          <w:jc w:val="center"/>
        </w:trPr>
        <w:tc>
          <w:tcPr>
            <w:tcW w:w="605" w:type="dxa"/>
            <w:vMerge w:val="restart"/>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结果维持</w:t>
            </w:r>
          </w:p>
        </w:tc>
        <w:tc>
          <w:tcPr>
            <w:tcW w:w="605" w:type="dxa"/>
            <w:vMerge w:val="restart"/>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结果</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纠正</w:t>
            </w:r>
          </w:p>
        </w:tc>
        <w:tc>
          <w:tcPr>
            <w:tcW w:w="605" w:type="dxa"/>
            <w:vMerge w:val="restart"/>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其他</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结果</w:t>
            </w:r>
          </w:p>
        </w:tc>
        <w:tc>
          <w:tcPr>
            <w:tcW w:w="605" w:type="dxa"/>
            <w:vMerge w:val="restart"/>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尚未</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审结</w:t>
            </w:r>
          </w:p>
        </w:tc>
        <w:tc>
          <w:tcPr>
            <w:tcW w:w="604" w:type="dxa"/>
            <w:vMerge w:val="restart"/>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总计</w:t>
            </w:r>
          </w:p>
        </w:tc>
        <w:tc>
          <w:tcPr>
            <w:tcW w:w="3023" w:type="dxa"/>
            <w:gridSpan w:val="5"/>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未经复议直接起诉</w:t>
            </w:r>
          </w:p>
        </w:tc>
        <w:tc>
          <w:tcPr>
            <w:tcW w:w="3025" w:type="dxa"/>
            <w:gridSpan w:val="5"/>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复议后起诉</w:t>
            </w:r>
          </w:p>
        </w:tc>
      </w:tr>
      <w:tr>
        <w:tblPrEx>
          <w:tblCellMar>
            <w:top w:w="28" w:type="dxa"/>
            <w:left w:w="28" w:type="dxa"/>
            <w:bottom w:w="28" w:type="dxa"/>
            <w:right w:w="28" w:type="dxa"/>
          </w:tblCellMar>
        </w:tblPrEx>
        <w:trPr>
          <w:trHeight w:val="397" w:hRule="atLeast"/>
          <w:jc w:val="center"/>
        </w:trPr>
        <w:tc>
          <w:tcPr>
            <w:tcW w:w="605" w:type="dxa"/>
            <w:vMerge w:val="continue"/>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p>
        </w:tc>
        <w:tc>
          <w:tcPr>
            <w:tcW w:w="605" w:type="dxa"/>
            <w:vMerge w:val="continue"/>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p>
        </w:tc>
        <w:tc>
          <w:tcPr>
            <w:tcW w:w="605" w:type="dxa"/>
            <w:vMerge w:val="continue"/>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p>
        </w:tc>
        <w:tc>
          <w:tcPr>
            <w:tcW w:w="605" w:type="dxa"/>
            <w:vMerge w:val="continue"/>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p>
        </w:tc>
        <w:tc>
          <w:tcPr>
            <w:tcW w:w="604" w:type="dxa"/>
            <w:vMerge w:val="continue"/>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p>
        </w:tc>
        <w:tc>
          <w:tcPr>
            <w:tcW w:w="604"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结果</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维持</w:t>
            </w:r>
          </w:p>
        </w:tc>
        <w:tc>
          <w:tcPr>
            <w:tcW w:w="604"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结果</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纠正</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其他</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结果</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尚未</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审结</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总计</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结果</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维持</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结果</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纠正</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其他</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结果</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rPr>
              <w:t>尚未</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审结</w:t>
            </w:r>
          </w:p>
        </w:tc>
        <w:tc>
          <w:tcPr>
            <w:tcW w:w="605"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总计</w:t>
            </w:r>
          </w:p>
        </w:tc>
      </w:tr>
      <w:tr>
        <w:tblPrEx>
          <w:tblCellMar>
            <w:top w:w="28" w:type="dxa"/>
            <w:left w:w="28" w:type="dxa"/>
            <w:bottom w:w="28" w:type="dxa"/>
            <w:right w:w="28" w:type="dxa"/>
          </w:tblCellMar>
        </w:tblPrEx>
        <w:trPr>
          <w:trHeight w:val="397" w:hRule="atLeast"/>
          <w:jc w:val="center"/>
        </w:trPr>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4"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c>
          <w:tcPr>
            <w:tcW w:w="605"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keepNext w:val="0"/>
              <w:keepLines w:val="0"/>
              <w:pageBreakBefore w:val="0"/>
              <w:kinsoku/>
              <w:wordWrap/>
              <w:overflowPunct/>
              <w:topLinePunct w:val="0"/>
              <w:autoSpaceDN/>
              <w:bidi w:val="0"/>
              <w:adjustRightInd w:val="0"/>
              <w:snapToGrid w:val="0"/>
              <w:spacing w:line="600" w:lineRule="exact"/>
              <w:jc w:val="center"/>
              <w:rPr>
                <w:rFonts w:hint="eastAsia" w:ascii="方正书宋_GBK" w:hAnsi="Times New Roman" w:eastAsia="方正书宋_GBK"/>
                <w:color w:val="000000"/>
                <w:kern w:val="0"/>
                <w:szCs w:val="21"/>
              </w:rPr>
            </w:pPr>
            <w:r>
              <w:rPr>
                <w:rFonts w:hint="eastAsia" w:ascii="方正书宋_GBK" w:hAnsi="Times New Roman" w:eastAsia="方正书宋_GBK"/>
                <w:color w:val="000000"/>
                <w:kern w:val="0"/>
                <w:szCs w:val="21"/>
                <w:lang w:val="en-US" w:eastAsia="zh-CN"/>
              </w:rPr>
              <w:t>0</w:t>
            </w:r>
          </w:p>
        </w:tc>
      </w:tr>
    </w:tbl>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五、存在的主要问题及改进情况</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default"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snapToGrid w:val="0"/>
          <w:color w:val="000000"/>
          <w:sz w:val="32"/>
          <w:szCs w:val="32"/>
          <w:lang w:val="en-US" w:eastAsia="zh-CN"/>
        </w:rPr>
        <w:t>（一）存在的主要问题：</w:t>
      </w:r>
      <w:r>
        <w:rPr>
          <w:rFonts w:hint="eastAsia" w:ascii="仿宋_GB2312" w:hAnsi="仿宋_GB2312" w:eastAsia="仿宋_GB2312" w:cs="仿宋_GB2312"/>
          <w:b w:val="0"/>
          <w:bCs w:val="0"/>
          <w:snapToGrid w:val="0"/>
          <w:color w:val="000000"/>
          <w:sz w:val="32"/>
          <w:szCs w:val="32"/>
          <w:lang w:val="en-US" w:eastAsia="zh-CN"/>
        </w:rPr>
        <w:t>一是</w:t>
      </w:r>
      <w:r>
        <w:rPr>
          <w:rFonts w:hint="eastAsia" w:ascii="仿宋_GB2312" w:hAnsi="仿宋_GB2312" w:eastAsia="仿宋_GB2312" w:cs="仿宋_GB2312"/>
          <w:snapToGrid w:val="0"/>
          <w:color w:val="000000"/>
          <w:sz w:val="32"/>
          <w:szCs w:val="32"/>
          <w:lang w:val="en-US" w:eastAsia="zh-CN"/>
        </w:rPr>
        <w:t>部门网站栏目设置不够规范，法定主动公开内容目录设置仍需进一步完善；</w:t>
      </w:r>
      <w:r>
        <w:rPr>
          <w:rFonts w:hint="eastAsia" w:ascii="仿宋_GB2312" w:hAnsi="仿宋_GB2312" w:eastAsia="仿宋_GB2312" w:cs="仿宋_GB2312"/>
          <w:b w:val="0"/>
          <w:bCs w:val="0"/>
          <w:snapToGrid w:val="0"/>
          <w:color w:val="000000"/>
          <w:sz w:val="32"/>
          <w:szCs w:val="32"/>
          <w:lang w:val="en-US" w:eastAsia="zh-CN"/>
        </w:rPr>
        <w:t>二是</w:t>
      </w:r>
      <w:r>
        <w:rPr>
          <w:rFonts w:hint="eastAsia" w:ascii="仿宋_GB2312" w:hAnsi="仿宋_GB2312" w:eastAsia="仿宋_GB2312" w:cs="仿宋_GB2312"/>
          <w:snapToGrid w:val="0"/>
          <w:color w:val="000000"/>
          <w:sz w:val="32"/>
          <w:szCs w:val="32"/>
          <w:lang w:val="en-US" w:eastAsia="zh-CN"/>
        </w:rPr>
        <w:t>政策解读内容深度和广度有待提高，且解读形式较单一；</w:t>
      </w:r>
      <w:r>
        <w:rPr>
          <w:rFonts w:hint="eastAsia" w:ascii="仿宋_GB2312" w:hAnsi="仿宋_GB2312" w:eastAsia="仿宋_GB2312" w:cs="仿宋_GB2312"/>
          <w:b w:val="0"/>
          <w:bCs w:val="0"/>
          <w:snapToGrid w:val="0"/>
          <w:color w:val="000000"/>
          <w:sz w:val="32"/>
          <w:szCs w:val="32"/>
          <w:lang w:val="en-US" w:eastAsia="zh-CN"/>
        </w:rPr>
        <w:t>三是</w:t>
      </w:r>
      <w:r>
        <w:rPr>
          <w:rFonts w:hint="eastAsia" w:ascii="仿宋_GB2312" w:hAnsi="仿宋_GB2312" w:eastAsia="仿宋_GB2312" w:cs="仿宋_GB2312"/>
          <w:snapToGrid w:val="0"/>
          <w:color w:val="000000"/>
          <w:sz w:val="32"/>
          <w:szCs w:val="32"/>
          <w:lang w:val="en-US" w:eastAsia="zh-CN"/>
        </w:rPr>
        <w:t>政务微信公众号信息更新频率低，内容原创性不足，版面设计欠缺美观。</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snapToGrid w:val="0"/>
          <w:color w:val="000000"/>
          <w:sz w:val="32"/>
          <w:szCs w:val="32"/>
          <w:lang w:val="en-US" w:eastAsia="zh-CN"/>
        </w:rPr>
        <w:t>（二）改进情况：</w:t>
      </w:r>
      <w:r>
        <w:rPr>
          <w:rFonts w:hint="eastAsia" w:ascii="仿宋_GB2312" w:hAnsi="仿宋_GB2312" w:eastAsia="仿宋_GB2312" w:cs="仿宋_GB2312"/>
          <w:b w:val="0"/>
          <w:bCs w:val="0"/>
          <w:snapToGrid w:val="0"/>
          <w:color w:val="000000"/>
          <w:sz w:val="32"/>
          <w:szCs w:val="32"/>
          <w:lang w:val="en-US" w:eastAsia="zh-CN"/>
        </w:rPr>
        <w:t>一是优化</w:t>
      </w:r>
      <w:r>
        <w:rPr>
          <w:rFonts w:hint="eastAsia" w:ascii="仿宋_GB2312" w:hAnsi="仿宋_GB2312" w:eastAsia="仿宋_GB2312" w:cs="仿宋_GB2312"/>
          <w:snapToGrid w:val="0"/>
          <w:color w:val="000000"/>
          <w:sz w:val="32"/>
          <w:szCs w:val="32"/>
          <w:lang w:val="en-US" w:eastAsia="zh-CN"/>
        </w:rPr>
        <w:t>网站页面设计、规范公开栏目；</w:t>
      </w:r>
      <w:r>
        <w:rPr>
          <w:rFonts w:hint="eastAsia" w:ascii="仿宋_GB2312" w:hAnsi="仿宋_GB2312" w:eastAsia="仿宋_GB2312" w:cs="仿宋_GB2312"/>
          <w:b w:val="0"/>
          <w:bCs w:val="0"/>
          <w:snapToGrid w:val="0"/>
          <w:color w:val="000000"/>
          <w:sz w:val="32"/>
          <w:szCs w:val="32"/>
          <w:lang w:val="en-US" w:eastAsia="zh-CN"/>
        </w:rPr>
        <w:t>二是</w:t>
      </w:r>
      <w:r>
        <w:rPr>
          <w:rFonts w:hint="eastAsia" w:ascii="仿宋_GB2312" w:hAnsi="仿宋_GB2312" w:eastAsia="仿宋_GB2312" w:cs="仿宋_GB2312"/>
          <w:snapToGrid w:val="0"/>
          <w:color w:val="000000"/>
          <w:sz w:val="32"/>
          <w:szCs w:val="32"/>
          <w:lang w:val="en-US" w:eastAsia="zh-CN"/>
        </w:rPr>
        <w:t>进一步提高政策解读质量，聚焦群众热点，精准解读，准确传递政策意图，加强对规范性文件及与民生关系密切、社会关注度高或专业性强的文件进行政策解读。同时丰富政策解读形式，集中发布非文字类的政策解读，运用生动活泼、通俗易懂的语言以及图表图解、新闻发布等公众喜闻乐见的形式提升解读效果。三是修订完善本部门信息管理制度，落实文字功底较好、具备相应专业技术能力的人员负责信息采编和政务微信公众号运维工作。</w:t>
      </w:r>
    </w:p>
    <w:p>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eastAsia" w:ascii="方正黑体_GBK" w:hAnsi="Times New Roman" w:eastAsia="方正黑体_GBK"/>
          <w:snapToGrid w:val="0"/>
          <w:color w:val="000000"/>
          <w:sz w:val="32"/>
          <w:szCs w:val="32"/>
        </w:rPr>
      </w:pPr>
      <w:r>
        <w:rPr>
          <w:rFonts w:hint="eastAsia" w:ascii="方正黑体_GBK" w:hAnsi="Times New Roman" w:eastAsia="方正黑体_GBK"/>
          <w:snapToGrid w:val="0"/>
          <w:color w:val="000000"/>
          <w:sz w:val="32"/>
          <w:szCs w:val="32"/>
        </w:rPr>
        <w:t>六、其他需要报告的事项</w:t>
      </w:r>
    </w:p>
    <w:p>
      <w:pPr>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600" w:lineRule="exact"/>
        <w:ind w:right="0" w:firstLine="640" w:firstLineChars="200"/>
        <w:jc w:val="both"/>
        <w:textAlignment w:val="auto"/>
      </w:pPr>
      <w:r>
        <w:rPr>
          <w:rFonts w:hint="eastAsia" w:ascii="仿宋_GB2312" w:hAnsi="微软雅黑" w:eastAsia="仿宋_GB2312" w:cs="仿宋_GB2312"/>
          <w:color w:val="525353"/>
          <w:kern w:val="0"/>
          <w:sz w:val="32"/>
          <w:szCs w:val="32"/>
          <w:shd w:val="clear" w:fill="FFFFFF"/>
          <w:lang w:val="en-US" w:eastAsia="zh-CN" w:bidi="ar"/>
        </w:rPr>
        <w:t>无其他需要报告的事项。</w:t>
      </w:r>
    </w:p>
    <w:p>
      <w:pPr>
        <w:adjustRightInd w:val="0"/>
        <w:snapToGrid w:val="0"/>
        <w:spacing w:line="600" w:lineRule="exact"/>
        <w:ind w:firstLine="560" w:firstLineChars="200"/>
        <w:rPr>
          <w:rFonts w:hint="eastAsia" w:ascii="Times New Roman" w:hAnsi="Times New Roman" w:eastAsia="方正仿宋_GBK"/>
          <w:snapToGrid w:val="0"/>
          <w:sz w:val="28"/>
          <w:szCs w:val="28"/>
          <w:shd w:val="clear" w:color="auto" w:fill="FFFFFF"/>
        </w:rPr>
      </w:pPr>
    </w:p>
    <w:sectPr>
      <w:footerReference r:id="rId3" w:type="default"/>
      <w:pgSz w:w="11906" w:h="16838"/>
      <w:pgMar w:top="1814" w:right="1418" w:bottom="1644" w:left="1418" w:header="851" w:footer="1134"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等线 Light">
    <w:altName w:val="汉仪中圆B5"/>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adjustRightInd w:val="0"/>
      <w:rPr>
        <w:rStyle w:val="18"/>
        <w:rFonts w:ascii="Times New Roman" w:hAnsi="Times New Roman"/>
        <w:sz w:val="28"/>
        <w:szCs w:val="32"/>
      </w:rPr>
    </w:pPr>
    <w:r>
      <w:rPr>
        <w:rStyle w:val="18"/>
        <w:rFonts w:ascii="宋体" w:hAnsi="宋体"/>
        <w:sz w:val="28"/>
        <w:szCs w:val="32"/>
      </w:rPr>
      <w:t>—</w:t>
    </w:r>
    <w:r>
      <w:rPr>
        <w:rStyle w:val="18"/>
        <w:rFonts w:hint="eastAsia" w:ascii="宋体" w:hAnsi="宋体"/>
        <w:sz w:val="28"/>
        <w:szCs w:val="32"/>
      </w:rPr>
      <w:t xml:space="preserve"> </w:t>
    </w:r>
    <w:r>
      <w:rPr>
        <w:rFonts w:ascii="Times New Roman" w:hAnsi="Times New Roman"/>
        <w:sz w:val="28"/>
        <w:szCs w:val="32"/>
      </w:rPr>
      <w:fldChar w:fldCharType="begin"/>
    </w:r>
    <w:r>
      <w:rPr>
        <w:rStyle w:val="18"/>
        <w:rFonts w:ascii="Times New Roman" w:hAnsi="Times New Roman"/>
        <w:sz w:val="28"/>
        <w:szCs w:val="32"/>
      </w:rPr>
      <w:instrText xml:space="preserve">PAGE  </w:instrText>
    </w:r>
    <w:r>
      <w:rPr>
        <w:rFonts w:ascii="Times New Roman" w:hAnsi="Times New Roman"/>
        <w:sz w:val="28"/>
        <w:szCs w:val="32"/>
      </w:rPr>
      <w:fldChar w:fldCharType="separate"/>
    </w:r>
    <w:r>
      <w:rPr>
        <w:rStyle w:val="18"/>
        <w:rFonts w:ascii="Times New Roman" w:hAnsi="Times New Roman"/>
        <w:sz w:val="28"/>
        <w:szCs w:val="32"/>
      </w:rPr>
      <w:t>3</w:t>
    </w:r>
    <w:r>
      <w:rPr>
        <w:rFonts w:ascii="Times New Roman" w:hAnsi="Times New Roman"/>
        <w:sz w:val="28"/>
        <w:szCs w:val="32"/>
      </w:rPr>
      <w:fldChar w:fldCharType="end"/>
    </w:r>
    <w:r>
      <w:rPr>
        <w:rStyle w:val="18"/>
        <w:rFonts w:hint="eastAsia" w:ascii="宋体" w:hAnsi="宋体"/>
        <w:sz w:val="28"/>
        <w:szCs w:val="32"/>
      </w:rPr>
      <w:t xml:space="preserve"> </w:t>
    </w:r>
    <w:r>
      <w:rPr>
        <w:rStyle w:val="18"/>
        <w:rFonts w:ascii="宋体" w:hAnsi="宋体"/>
        <w:sz w:val="28"/>
        <w:szCs w:val="32"/>
      </w:rPr>
      <w:t>—</w:t>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45"/>
    <w:rsid w:val="00017351"/>
    <w:rsid w:val="00017860"/>
    <w:rsid w:val="00025D9F"/>
    <w:rsid w:val="000342B9"/>
    <w:rsid w:val="00057AE1"/>
    <w:rsid w:val="00062E40"/>
    <w:rsid w:val="00066522"/>
    <w:rsid w:val="0008211A"/>
    <w:rsid w:val="00086DE2"/>
    <w:rsid w:val="00087196"/>
    <w:rsid w:val="000948D3"/>
    <w:rsid w:val="000958D1"/>
    <w:rsid w:val="000B2DF2"/>
    <w:rsid w:val="000D4695"/>
    <w:rsid w:val="000D5355"/>
    <w:rsid w:val="000D6063"/>
    <w:rsid w:val="001023D3"/>
    <w:rsid w:val="001027CC"/>
    <w:rsid w:val="00127E96"/>
    <w:rsid w:val="00161B4E"/>
    <w:rsid w:val="00167CD7"/>
    <w:rsid w:val="00183FF8"/>
    <w:rsid w:val="00185046"/>
    <w:rsid w:val="00186E5D"/>
    <w:rsid w:val="0019466E"/>
    <w:rsid w:val="00196A40"/>
    <w:rsid w:val="001B4909"/>
    <w:rsid w:val="001C330C"/>
    <w:rsid w:val="001C46C4"/>
    <w:rsid w:val="001C4C43"/>
    <w:rsid w:val="001C55DE"/>
    <w:rsid w:val="001C7D84"/>
    <w:rsid w:val="001D74CB"/>
    <w:rsid w:val="001E1AB3"/>
    <w:rsid w:val="001E2E95"/>
    <w:rsid w:val="001E3741"/>
    <w:rsid w:val="001F0906"/>
    <w:rsid w:val="001F702C"/>
    <w:rsid w:val="002019AB"/>
    <w:rsid w:val="0020263E"/>
    <w:rsid w:val="00211675"/>
    <w:rsid w:val="0021382C"/>
    <w:rsid w:val="00241A5C"/>
    <w:rsid w:val="0027347A"/>
    <w:rsid w:val="00274643"/>
    <w:rsid w:val="00283E16"/>
    <w:rsid w:val="00296178"/>
    <w:rsid w:val="002A080B"/>
    <w:rsid w:val="002A21EF"/>
    <w:rsid w:val="002A61F0"/>
    <w:rsid w:val="002D7F35"/>
    <w:rsid w:val="002E6527"/>
    <w:rsid w:val="0030188B"/>
    <w:rsid w:val="00302AD5"/>
    <w:rsid w:val="003227D2"/>
    <w:rsid w:val="0036169B"/>
    <w:rsid w:val="003920CB"/>
    <w:rsid w:val="003B30E7"/>
    <w:rsid w:val="003C7E5F"/>
    <w:rsid w:val="003D5383"/>
    <w:rsid w:val="003E26BB"/>
    <w:rsid w:val="003E7801"/>
    <w:rsid w:val="003F7DA7"/>
    <w:rsid w:val="00401F32"/>
    <w:rsid w:val="00414650"/>
    <w:rsid w:val="00416E10"/>
    <w:rsid w:val="00446485"/>
    <w:rsid w:val="00461D31"/>
    <w:rsid w:val="0047767D"/>
    <w:rsid w:val="0048306B"/>
    <w:rsid w:val="004C4D26"/>
    <w:rsid w:val="004D03DC"/>
    <w:rsid w:val="004D28CB"/>
    <w:rsid w:val="004F578A"/>
    <w:rsid w:val="005101DB"/>
    <w:rsid w:val="00540685"/>
    <w:rsid w:val="00540BDE"/>
    <w:rsid w:val="005417F5"/>
    <w:rsid w:val="00550E31"/>
    <w:rsid w:val="0056699D"/>
    <w:rsid w:val="00567A99"/>
    <w:rsid w:val="00576C18"/>
    <w:rsid w:val="0059346E"/>
    <w:rsid w:val="005974D1"/>
    <w:rsid w:val="005B347E"/>
    <w:rsid w:val="005C31FC"/>
    <w:rsid w:val="005C5F45"/>
    <w:rsid w:val="005D111F"/>
    <w:rsid w:val="005D74C6"/>
    <w:rsid w:val="005D7D3A"/>
    <w:rsid w:val="005D7E54"/>
    <w:rsid w:val="005F4E33"/>
    <w:rsid w:val="0062722B"/>
    <w:rsid w:val="00651A1D"/>
    <w:rsid w:val="0066538C"/>
    <w:rsid w:val="00670F67"/>
    <w:rsid w:val="00672CBE"/>
    <w:rsid w:val="00677FA2"/>
    <w:rsid w:val="0068259C"/>
    <w:rsid w:val="00692800"/>
    <w:rsid w:val="0069292E"/>
    <w:rsid w:val="006A1A73"/>
    <w:rsid w:val="006C1581"/>
    <w:rsid w:val="006C45D2"/>
    <w:rsid w:val="006D5130"/>
    <w:rsid w:val="006E78DA"/>
    <w:rsid w:val="006F022A"/>
    <w:rsid w:val="0070260A"/>
    <w:rsid w:val="007272C2"/>
    <w:rsid w:val="00737CF7"/>
    <w:rsid w:val="00747111"/>
    <w:rsid w:val="0075648A"/>
    <w:rsid w:val="00760A84"/>
    <w:rsid w:val="00761579"/>
    <w:rsid w:val="007652BF"/>
    <w:rsid w:val="0077347B"/>
    <w:rsid w:val="007904B3"/>
    <w:rsid w:val="00794791"/>
    <w:rsid w:val="007970B4"/>
    <w:rsid w:val="007C1315"/>
    <w:rsid w:val="007C71C4"/>
    <w:rsid w:val="007D22DF"/>
    <w:rsid w:val="007D5541"/>
    <w:rsid w:val="00807A2E"/>
    <w:rsid w:val="008122B3"/>
    <w:rsid w:val="0081649F"/>
    <w:rsid w:val="0081721A"/>
    <w:rsid w:val="008311D8"/>
    <w:rsid w:val="0086062F"/>
    <w:rsid w:val="008632EE"/>
    <w:rsid w:val="0087215B"/>
    <w:rsid w:val="00896FC4"/>
    <w:rsid w:val="008A0587"/>
    <w:rsid w:val="008B3668"/>
    <w:rsid w:val="008E359A"/>
    <w:rsid w:val="009039BF"/>
    <w:rsid w:val="00912BE9"/>
    <w:rsid w:val="00917EF3"/>
    <w:rsid w:val="00923961"/>
    <w:rsid w:val="00923AF6"/>
    <w:rsid w:val="009361E3"/>
    <w:rsid w:val="009461CB"/>
    <w:rsid w:val="00956A3B"/>
    <w:rsid w:val="009843F7"/>
    <w:rsid w:val="009941C6"/>
    <w:rsid w:val="00997005"/>
    <w:rsid w:val="009A58E4"/>
    <w:rsid w:val="009A5F5D"/>
    <w:rsid w:val="009A5F92"/>
    <w:rsid w:val="009A6220"/>
    <w:rsid w:val="009E3D35"/>
    <w:rsid w:val="009E4EF2"/>
    <w:rsid w:val="009E5BC0"/>
    <w:rsid w:val="00A05026"/>
    <w:rsid w:val="00A25A02"/>
    <w:rsid w:val="00A54135"/>
    <w:rsid w:val="00A63209"/>
    <w:rsid w:val="00A67BC6"/>
    <w:rsid w:val="00A7215E"/>
    <w:rsid w:val="00A80ABE"/>
    <w:rsid w:val="00A81D3B"/>
    <w:rsid w:val="00A948AC"/>
    <w:rsid w:val="00A9526E"/>
    <w:rsid w:val="00A97086"/>
    <w:rsid w:val="00AA0FA2"/>
    <w:rsid w:val="00AB12D1"/>
    <w:rsid w:val="00AC3D95"/>
    <w:rsid w:val="00AD0298"/>
    <w:rsid w:val="00AD7013"/>
    <w:rsid w:val="00AE4EEB"/>
    <w:rsid w:val="00AF079D"/>
    <w:rsid w:val="00AF6163"/>
    <w:rsid w:val="00B16128"/>
    <w:rsid w:val="00B22B03"/>
    <w:rsid w:val="00B32B8B"/>
    <w:rsid w:val="00B41FE3"/>
    <w:rsid w:val="00B45C41"/>
    <w:rsid w:val="00B513C0"/>
    <w:rsid w:val="00B52FC4"/>
    <w:rsid w:val="00B530E7"/>
    <w:rsid w:val="00B81721"/>
    <w:rsid w:val="00B8684C"/>
    <w:rsid w:val="00B92574"/>
    <w:rsid w:val="00B95E41"/>
    <w:rsid w:val="00BA3214"/>
    <w:rsid w:val="00BD0474"/>
    <w:rsid w:val="00BD0A8D"/>
    <w:rsid w:val="00BD2B17"/>
    <w:rsid w:val="00BD368B"/>
    <w:rsid w:val="00BE6D74"/>
    <w:rsid w:val="00BF01FD"/>
    <w:rsid w:val="00C0017D"/>
    <w:rsid w:val="00C03244"/>
    <w:rsid w:val="00C0657F"/>
    <w:rsid w:val="00C16840"/>
    <w:rsid w:val="00C52F51"/>
    <w:rsid w:val="00C605D9"/>
    <w:rsid w:val="00C65DF1"/>
    <w:rsid w:val="00CC3F40"/>
    <w:rsid w:val="00CD53B9"/>
    <w:rsid w:val="00CD746E"/>
    <w:rsid w:val="00CE24F9"/>
    <w:rsid w:val="00CE6F12"/>
    <w:rsid w:val="00D13C8A"/>
    <w:rsid w:val="00D16789"/>
    <w:rsid w:val="00D375BB"/>
    <w:rsid w:val="00D53903"/>
    <w:rsid w:val="00D53E5F"/>
    <w:rsid w:val="00D640A9"/>
    <w:rsid w:val="00D65E14"/>
    <w:rsid w:val="00D77092"/>
    <w:rsid w:val="00D80DDA"/>
    <w:rsid w:val="00DA58A1"/>
    <w:rsid w:val="00E00C84"/>
    <w:rsid w:val="00E025B4"/>
    <w:rsid w:val="00E034F1"/>
    <w:rsid w:val="00E148EB"/>
    <w:rsid w:val="00E171EE"/>
    <w:rsid w:val="00E42F93"/>
    <w:rsid w:val="00E465EA"/>
    <w:rsid w:val="00E46619"/>
    <w:rsid w:val="00E46949"/>
    <w:rsid w:val="00E47917"/>
    <w:rsid w:val="00E67A70"/>
    <w:rsid w:val="00E8292B"/>
    <w:rsid w:val="00E920D5"/>
    <w:rsid w:val="00EA1608"/>
    <w:rsid w:val="00EA1ED4"/>
    <w:rsid w:val="00EA4585"/>
    <w:rsid w:val="00EB6BEF"/>
    <w:rsid w:val="00EC23FC"/>
    <w:rsid w:val="00ED2A7F"/>
    <w:rsid w:val="00EF0DB9"/>
    <w:rsid w:val="00EF17B8"/>
    <w:rsid w:val="00F020A4"/>
    <w:rsid w:val="00F03ABF"/>
    <w:rsid w:val="00F05253"/>
    <w:rsid w:val="00F11780"/>
    <w:rsid w:val="00F3381D"/>
    <w:rsid w:val="00F40B32"/>
    <w:rsid w:val="00F42822"/>
    <w:rsid w:val="00F46827"/>
    <w:rsid w:val="00F531CB"/>
    <w:rsid w:val="00F714EB"/>
    <w:rsid w:val="00F97FD7"/>
    <w:rsid w:val="00FC10E2"/>
    <w:rsid w:val="00FC73A2"/>
    <w:rsid w:val="00FE77D7"/>
    <w:rsid w:val="00FF581A"/>
    <w:rsid w:val="04836493"/>
    <w:rsid w:val="08EA6FB7"/>
    <w:rsid w:val="092D54BA"/>
    <w:rsid w:val="09EA7404"/>
    <w:rsid w:val="0A823CEB"/>
    <w:rsid w:val="0AEF4A4E"/>
    <w:rsid w:val="0B4F75E3"/>
    <w:rsid w:val="0D07132C"/>
    <w:rsid w:val="0DAE5500"/>
    <w:rsid w:val="0DC256A0"/>
    <w:rsid w:val="0FAD7E19"/>
    <w:rsid w:val="10673610"/>
    <w:rsid w:val="10B8298E"/>
    <w:rsid w:val="12BC2799"/>
    <w:rsid w:val="13FD1ACA"/>
    <w:rsid w:val="14E60C13"/>
    <w:rsid w:val="150855B1"/>
    <w:rsid w:val="16E75D71"/>
    <w:rsid w:val="1A8F20FF"/>
    <w:rsid w:val="1BDA43ED"/>
    <w:rsid w:val="1C826C8A"/>
    <w:rsid w:val="1C947BDA"/>
    <w:rsid w:val="1C9A0355"/>
    <w:rsid w:val="1E9355F8"/>
    <w:rsid w:val="1EF22883"/>
    <w:rsid w:val="22C83D9F"/>
    <w:rsid w:val="238E2789"/>
    <w:rsid w:val="23C679B7"/>
    <w:rsid w:val="25054F52"/>
    <w:rsid w:val="25442B68"/>
    <w:rsid w:val="25F32BB4"/>
    <w:rsid w:val="27F0461E"/>
    <w:rsid w:val="28825DA2"/>
    <w:rsid w:val="28A3076F"/>
    <w:rsid w:val="28A46D32"/>
    <w:rsid w:val="2A82023D"/>
    <w:rsid w:val="2B4F3C9D"/>
    <w:rsid w:val="2B72403E"/>
    <w:rsid w:val="2C976DEB"/>
    <w:rsid w:val="30D676DD"/>
    <w:rsid w:val="30F555AF"/>
    <w:rsid w:val="31CB09D2"/>
    <w:rsid w:val="31DC6626"/>
    <w:rsid w:val="32404D1C"/>
    <w:rsid w:val="32695275"/>
    <w:rsid w:val="326B2B80"/>
    <w:rsid w:val="330C7939"/>
    <w:rsid w:val="34D92317"/>
    <w:rsid w:val="356704E5"/>
    <w:rsid w:val="35E91868"/>
    <w:rsid w:val="37010A96"/>
    <w:rsid w:val="38EB53E6"/>
    <w:rsid w:val="391D4027"/>
    <w:rsid w:val="396645FA"/>
    <w:rsid w:val="3B574B6F"/>
    <w:rsid w:val="3B746CE7"/>
    <w:rsid w:val="3D4163CC"/>
    <w:rsid w:val="3EF06066"/>
    <w:rsid w:val="3F95134C"/>
    <w:rsid w:val="3FCB0898"/>
    <w:rsid w:val="4475502E"/>
    <w:rsid w:val="47627580"/>
    <w:rsid w:val="4AB427F7"/>
    <w:rsid w:val="4B6F0AA1"/>
    <w:rsid w:val="4B875BAF"/>
    <w:rsid w:val="4BA44635"/>
    <w:rsid w:val="4C157304"/>
    <w:rsid w:val="4C812AD6"/>
    <w:rsid w:val="4E946B71"/>
    <w:rsid w:val="4FE26F83"/>
    <w:rsid w:val="4FFF0D89"/>
    <w:rsid w:val="5079358C"/>
    <w:rsid w:val="542C1314"/>
    <w:rsid w:val="550A5C7C"/>
    <w:rsid w:val="562C3C0F"/>
    <w:rsid w:val="568B0D81"/>
    <w:rsid w:val="56E67AD8"/>
    <w:rsid w:val="5A6D528F"/>
    <w:rsid w:val="5B612809"/>
    <w:rsid w:val="5CB87BCD"/>
    <w:rsid w:val="5CC97269"/>
    <w:rsid w:val="607D6743"/>
    <w:rsid w:val="617355B3"/>
    <w:rsid w:val="617B71C1"/>
    <w:rsid w:val="628E1C9B"/>
    <w:rsid w:val="63186434"/>
    <w:rsid w:val="634C6EA9"/>
    <w:rsid w:val="65780DA6"/>
    <w:rsid w:val="67DF1203"/>
    <w:rsid w:val="6821038D"/>
    <w:rsid w:val="68E749C6"/>
    <w:rsid w:val="690920C9"/>
    <w:rsid w:val="69A30D15"/>
    <w:rsid w:val="6ABE0E88"/>
    <w:rsid w:val="6D84456E"/>
    <w:rsid w:val="6E046AF5"/>
    <w:rsid w:val="6FD64C03"/>
    <w:rsid w:val="703955E9"/>
    <w:rsid w:val="7294210C"/>
    <w:rsid w:val="73D77B88"/>
    <w:rsid w:val="7497146B"/>
    <w:rsid w:val="753D7183"/>
    <w:rsid w:val="76610558"/>
    <w:rsid w:val="76B707A9"/>
    <w:rsid w:val="77555787"/>
    <w:rsid w:val="7AA6654E"/>
    <w:rsid w:val="7AC837A8"/>
    <w:rsid w:val="7C63215A"/>
    <w:rsid w:val="7D892E2D"/>
    <w:rsid w:val="7EBF456D"/>
    <w:rsid w:val="86F74355"/>
    <w:rsid w:val="95BF3248"/>
    <w:rsid w:val="EF4D056E"/>
    <w:rsid w:val="FBF76ED8"/>
    <w:rsid w:val="FFF637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7"/>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qFormat/>
    <w:uiPriority w:val="0"/>
    <w:pPr>
      <w:keepNext/>
      <w:keepLines/>
      <w:spacing w:before="260" w:after="260" w:line="416" w:lineRule="auto"/>
      <w:outlineLvl w:val="2"/>
    </w:pPr>
    <w:rPr>
      <w:rFonts w:ascii="Times New Roman" w:hAnsi="Times New Roman"/>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afterLines="0" w:afterAutospacing="0"/>
    </w:pPr>
  </w:style>
  <w:style w:type="paragraph" w:styleId="6">
    <w:name w:val="Normal Indent"/>
    <w:basedOn w:val="1"/>
    <w:next w:val="1"/>
    <w:qFormat/>
    <w:uiPriority w:val="0"/>
    <w:pPr>
      <w:ind w:firstLine="420" w:firstLineChars="200"/>
    </w:pPr>
    <w:rPr>
      <w:sz w:val="30"/>
      <w:szCs w:val="30"/>
    </w:rPr>
  </w:style>
  <w:style w:type="paragraph" w:styleId="7">
    <w:name w:val="Block Text"/>
    <w:basedOn w:val="1"/>
    <w:unhideWhenUsed/>
    <w:qFormat/>
    <w:uiPriority w:val="0"/>
    <w:pPr>
      <w:spacing w:after="120"/>
      <w:ind w:left="1440" w:leftChars="700" w:right="1440" w:rightChars="700"/>
    </w:pPr>
    <w:rPr>
      <w:rFonts w:ascii="Times New Roman" w:hAnsi="Times New Roman"/>
      <w:szCs w:val="24"/>
    </w:rPr>
  </w:style>
  <w:style w:type="paragraph" w:styleId="8">
    <w:name w:val="Date"/>
    <w:basedOn w:val="1"/>
    <w:next w:val="1"/>
    <w:qFormat/>
    <w:uiPriority w:val="0"/>
    <w:pPr>
      <w:ind w:left="100" w:leftChars="2500"/>
    </w:pPr>
  </w:style>
  <w:style w:type="paragraph" w:styleId="9">
    <w:name w:val="Body Text Indent 2"/>
    <w:basedOn w:val="1"/>
    <w:link w:val="32"/>
    <w:qFormat/>
    <w:uiPriority w:val="0"/>
    <w:pPr>
      <w:spacing w:line="560" w:lineRule="exact"/>
      <w:ind w:left="1197" w:leftChars="93" w:hanging="918" w:hangingChars="328"/>
    </w:pPr>
    <w:rPr>
      <w:rFonts w:ascii="方正仿宋_GBK" w:hAnsi="Tahoma" w:eastAsia="方正仿宋_GBK"/>
      <w:color w:val="000000"/>
      <w:sz w:val="28"/>
      <w:szCs w:val="2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link w:val="34"/>
    <w:semiHidden/>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等线 Light" w:hAnsi="等线 Light" w:eastAsia="等线 Light" w:cs="宋体"/>
      <w:b/>
      <w:bCs/>
      <w:sz w:val="32"/>
      <w:szCs w:val="32"/>
    </w:rPr>
  </w:style>
  <w:style w:type="character" w:styleId="17">
    <w:name w:val="Strong"/>
    <w:basedOn w:val="16"/>
    <w:qFormat/>
    <w:uiPriority w:val="0"/>
    <w:rPr>
      <w:b/>
      <w:bCs/>
    </w:rPr>
  </w:style>
  <w:style w:type="character" w:styleId="18">
    <w:name w:val="page number"/>
    <w:basedOn w:val="16"/>
    <w:qFormat/>
    <w:uiPriority w:val="0"/>
  </w:style>
  <w:style w:type="character" w:styleId="19">
    <w:name w:val="Emphasis"/>
    <w:qFormat/>
    <w:uiPriority w:val="0"/>
  </w:style>
  <w:style w:type="character" w:styleId="20">
    <w:name w:val="annotation reference"/>
    <w:qFormat/>
    <w:uiPriority w:val="0"/>
    <w:rPr>
      <w:sz w:val="21"/>
      <w:szCs w:val="21"/>
    </w:rPr>
  </w:style>
  <w:style w:type="paragraph" w:customStyle="1" w:styleId="21">
    <w:name w:val="Char"/>
    <w:basedOn w:val="1"/>
    <w:qFormat/>
    <w:uiPriority w:val="0"/>
    <w:rPr>
      <w:rFonts w:ascii="Tahoma" w:hAnsi="Tahoma"/>
      <w:sz w:val="24"/>
      <w:szCs w:val="20"/>
    </w:rPr>
  </w:style>
  <w:style w:type="paragraph" w:customStyle="1" w:styleId="2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UserStyle_0"/>
    <w:basedOn w:val="1"/>
    <w:qFormat/>
    <w:uiPriority w:val="0"/>
    <w:pPr>
      <w:spacing w:line="412" w:lineRule="auto"/>
      <w:ind w:firstLine="400"/>
      <w:jc w:val="left"/>
      <w:textAlignment w:val="baseline"/>
    </w:pPr>
    <w:rPr>
      <w:rFonts w:ascii="宋体" w:hAnsi="宋体" w:cs="宋体"/>
      <w:kern w:val="0"/>
      <w:sz w:val="19"/>
      <w:szCs w:val="19"/>
    </w:rPr>
  </w:style>
  <w:style w:type="paragraph" w:customStyle="1" w:styleId="24">
    <w:name w:val="List Paragraph"/>
    <w:basedOn w:val="1"/>
    <w:qFormat/>
    <w:uiPriority w:val="34"/>
    <w:pPr>
      <w:ind w:firstLine="420" w:firstLineChars="200"/>
    </w:pPr>
  </w:style>
  <w:style w:type="character" w:customStyle="1" w:styleId="25">
    <w:name w:val="font41"/>
    <w:basedOn w:val="16"/>
    <w:qFormat/>
    <w:uiPriority w:val="0"/>
    <w:rPr>
      <w:rFonts w:hint="default" w:ascii="Times New Roman" w:hAnsi="Times New Roman" w:cs="Times New Roman"/>
      <w:color w:val="000000"/>
      <w:sz w:val="22"/>
      <w:szCs w:val="22"/>
      <w:u w:val="none"/>
    </w:rPr>
  </w:style>
  <w:style w:type="character" w:customStyle="1" w:styleId="26">
    <w:name w:val="17"/>
    <w:basedOn w:val="16"/>
    <w:qFormat/>
    <w:uiPriority w:val="0"/>
    <w:rPr>
      <w:rFonts w:hint="eastAsia" w:ascii="仿宋_GB2312" w:eastAsia="仿宋_GB2312"/>
      <w:color w:val="000000"/>
      <w:sz w:val="24"/>
      <w:szCs w:val="24"/>
    </w:rPr>
  </w:style>
  <w:style w:type="character" w:customStyle="1" w:styleId="27">
    <w:name w:val=" Char Char3"/>
    <w:link w:val="3"/>
    <w:qFormat/>
    <w:uiPriority w:val="0"/>
    <w:rPr>
      <w:rFonts w:eastAsia="宋体"/>
      <w:b/>
      <w:bCs/>
      <w:kern w:val="44"/>
      <w:sz w:val="44"/>
      <w:szCs w:val="44"/>
      <w:lang w:val="en-US" w:eastAsia="zh-CN" w:bidi="ar-SA"/>
    </w:rPr>
  </w:style>
  <w:style w:type="character" w:customStyle="1" w:styleId="28">
    <w:name w:val=" Char Char1"/>
    <w:basedOn w:val="16"/>
    <w:link w:val="10"/>
    <w:qFormat/>
    <w:uiPriority w:val="0"/>
    <w:rPr>
      <w:rFonts w:ascii="Calibri" w:hAnsi="Calibri" w:eastAsia="宋体"/>
      <w:kern w:val="2"/>
      <w:sz w:val="18"/>
      <w:szCs w:val="18"/>
      <w:lang w:val="en-US" w:eastAsia="zh-CN" w:bidi="ar-SA"/>
    </w:rPr>
  </w:style>
  <w:style w:type="character" w:customStyle="1" w:styleId="29">
    <w:name w:val="15"/>
    <w:basedOn w:val="16"/>
    <w:qFormat/>
    <w:uiPriority w:val="0"/>
    <w:rPr>
      <w:rFonts w:hint="eastAsia" w:ascii="宋体" w:hAnsi="宋体" w:eastAsia="宋体"/>
      <w:color w:val="000000"/>
      <w:sz w:val="28"/>
      <w:szCs w:val="28"/>
    </w:rPr>
  </w:style>
  <w:style w:type="character" w:customStyle="1" w:styleId="30">
    <w:name w:val=" Char Char2"/>
    <w:link w:val="5"/>
    <w:qFormat/>
    <w:uiPriority w:val="0"/>
    <w:rPr>
      <w:rFonts w:eastAsia="宋体"/>
      <w:b/>
      <w:bCs/>
      <w:kern w:val="2"/>
      <w:sz w:val="32"/>
      <w:szCs w:val="32"/>
      <w:lang w:val="en-US" w:eastAsia="zh-CN" w:bidi="ar-SA"/>
    </w:rPr>
  </w:style>
  <w:style w:type="character" w:customStyle="1" w:styleId="31">
    <w:name w:val="font21"/>
    <w:basedOn w:val="16"/>
    <w:qFormat/>
    <w:uiPriority w:val="0"/>
    <w:rPr>
      <w:rFonts w:hint="eastAsia" w:ascii="宋体" w:hAnsi="宋体" w:eastAsia="宋体" w:cs="宋体"/>
      <w:color w:val="000000"/>
      <w:sz w:val="22"/>
      <w:szCs w:val="22"/>
      <w:u w:val="none"/>
    </w:rPr>
  </w:style>
  <w:style w:type="character" w:customStyle="1" w:styleId="32">
    <w:name w:val=" Char Char"/>
    <w:basedOn w:val="16"/>
    <w:link w:val="9"/>
    <w:qFormat/>
    <w:locked/>
    <w:uiPriority w:val="0"/>
    <w:rPr>
      <w:rFonts w:ascii="方正仿宋_GBK" w:hAnsi="Tahoma" w:eastAsia="方正仿宋_GBK"/>
      <w:color w:val="000000"/>
      <w:kern w:val="2"/>
      <w:sz w:val="28"/>
      <w:szCs w:val="28"/>
      <w:lang w:val="en-US" w:eastAsia="zh-CN" w:bidi="ar-SA"/>
    </w:rPr>
  </w:style>
  <w:style w:type="character" w:customStyle="1" w:styleId="33">
    <w:name w:val="16"/>
    <w:basedOn w:val="16"/>
    <w:qFormat/>
    <w:uiPriority w:val="0"/>
    <w:rPr>
      <w:rFonts w:hint="default" w:ascii="Arial" w:hAnsi="Arial" w:cs="Arial"/>
      <w:color w:val="000000"/>
      <w:sz w:val="24"/>
      <w:szCs w:val="24"/>
    </w:rPr>
  </w:style>
  <w:style w:type="character" w:customStyle="1" w:styleId="34">
    <w:name w:val="普通 (Web) Char Char"/>
    <w:link w:val="13"/>
    <w:qFormat/>
    <w:locked/>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694</Words>
  <Characters>3956</Characters>
  <Lines>32</Lines>
  <Paragraphs>9</Paragraphs>
  <TotalTime>0</TotalTime>
  <ScaleCrop>false</ScaleCrop>
  <LinksUpToDate>false</LinksUpToDate>
  <CharactersWithSpaces>4641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2021-10-22T17:41:00Z</dcterms:created>
  <dc:creator>lenovo</dc:creator>
  <cp:lastModifiedBy>gxxc</cp:lastModifiedBy>
  <cp:lastPrinted>2021-11-17T18:46:00Z</cp:lastPrinted>
  <dcterms:modified xsi:type="dcterms:W3CDTF">2022-05-13T09:55:06Z</dcterms:modified>
  <dc:title>2019年全区政务公开培训班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A9677220F21B4C79BDBFFF60A25A162A</vt:lpwstr>
  </property>
</Properties>
</file>